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39" w:rsidRDefault="004B20BD" w:rsidP="000C6922">
      <w:pPr>
        <w:pStyle w:val="Title"/>
        <w:tabs>
          <w:tab w:val="left" w:pos="8640"/>
          <w:tab w:val="left" w:pos="10200"/>
          <w:tab w:val="left" w:leader="underscore" w:pos="14640"/>
        </w:tabs>
        <w:ind w:left="720"/>
        <w:outlineLvl w:val="0"/>
        <w:rPr>
          <w:noProof/>
          <w:sz w:val="28"/>
        </w:rPr>
      </w:pPr>
      <w:r>
        <w:rPr>
          <w:noProof/>
          <w:sz w:val="28"/>
        </w:rPr>
        <w:drawing>
          <wp:inline distT="0" distB="0" distL="0" distR="0">
            <wp:extent cx="3219450" cy="695325"/>
            <wp:effectExtent l="0" t="0" r="0" b="0"/>
            <wp:docPr id="1" name="Picture 1" descr="png-104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1040x2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695325"/>
                    </a:xfrm>
                    <a:prstGeom prst="rect">
                      <a:avLst/>
                    </a:prstGeom>
                    <a:noFill/>
                    <a:ln>
                      <a:noFill/>
                    </a:ln>
                  </pic:spPr>
                </pic:pic>
              </a:graphicData>
            </a:graphic>
          </wp:inline>
        </w:drawing>
      </w:r>
    </w:p>
    <w:p w:rsidR="000C6922" w:rsidRDefault="000C6922" w:rsidP="000C6922">
      <w:pPr>
        <w:pStyle w:val="Title"/>
        <w:tabs>
          <w:tab w:val="left" w:pos="8640"/>
          <w:tab w:val="left" w:pos="10200"/>
          <w:tab w:val="left" w:leader="underscore" w:pos="14640"/>
        </w:tabs>
        <w:ind w:left="720"/>
        <w:outlineLvl w:val="0"/>
        <w:rPr>
          <w:noProof/>
          <w:sz w:val="28"/>
        </w:rPr>
      </w:pPr>
    </w:p>
    <w:p w:rsidR="000C6922" w:rsidRDefault="000C6922" w:rsidP="000C6922">
      <w:pPr>
        <w:pStyle w:val="Title"/>
        <w:tabs>
          <w:tab w:val="left" w:pos="8640"/>
          <w:tab w:val="left" w:pos="10200"/>
          <w:tab w:val="left" w:leader="underscore" w:pos="14640"/>
        </w:tabs>
        <w:ind w:left="720"/>
        <w:outlineLvl w:val="0"/>
        <w:rPr>
          <w:b w:val="0"/>
          <w:bCs/>
          <w:sz w:val="22"/>
        </w:rPr>
      </w:pPr>
    </w:p>
    <w:p w:rsidR="002F614E" w:rsidRPr="002F614E" w:rsidRDefault="00BD07E9" w:rsidP="00BD07E9">
      <w:pPr>
        <w:jc w:val="center"/>
        <w:rPr>
          <w:rFonts w:ascii="Tahoma" w:eastAsia="MS Mincho" w:hAnsi="Tahoma" w:cs="Tahoma"/>
          <w:b/>
          <w:color w:val="000000"/>
          <w:sz w:val="28"/>
          <w:szCs w:val="28"/>
        </w:rPr>
      </w:pPr>
      <w:r>
        <w:rPr>
          <w:rFonts w:ascii="Tahoma" w:eastAsia="MS Mincho" w:hAnsi="Tahoma" w:cs="Tahoma"/>
          <w:b/>
          <w:color w:val="000000"/>
          <w:sz w:val="28"/>
          <w:szCs w:val="28"/>
        </w:rPr>
        <w:t xml:space="preserve">WACF/CA Meeting </w:t>
      </w:r>
      <w:r>
        <w:rPr>
          <w:rFonts w:ascii="Tahoma" w:eastAsia="MS Mincho" w:hAnsi="Tahoma" w:cs="Tahoma"/>
          <w:b/>
          <w:color w:val="000000"/>
          <w:sz w:val="28"/>
          <w:szCs w:val="28"/>
        </w:rPr>
        <w:br/>
      </w:r>
      <w:r w:rsidR="00DF2D45">
        <w:rPr>
          <w:rFonts w:ascii="Tahoma" w:eastAsia="MS Mincho" w:hAnsi="Tahoma" w:cs="Tahoma"/>
          <w:b/>
          <w:color w:val="000000"/>
          <w:sz w:val="28"/>
          <w:szCs w:val="28"/>
        </w:rPr>
        <w:t>February 23, 2017 1:00</w:t>
      </w:r>
      <w:r>
        <w:rPr>
          <w:rFonts w:ascii="Tahoma" w:eastAsia="MS Mincho" w:hAnsi="Tahoma" w:cs="Tahoma"/>
          <w:b/>
          <w:color w:val="000000"/>
          <w:sz w:val="28"/>
          <w:szCs w:val="28"/>
        </w:rPr>
        <w:t xml:space="preserve"> p.m. – </w:t>
      </w:r>
      <w:r w:rsidR="00DF2D45">
        <w:rPr>
          <w:rFonts w:ascii="Tahoma" w:eastAsia="MS Mincho" w:hAnsi="Tahoma" w:cs="Tahoma"/>
          <w:b/>
          <w:color w:val="000000"/>
          <w:sz w:val="28"/>
          <w:szCs w:val="28"/>
        </w:rPr>
        <w:t>3:00</w:t>
      </w:r>
      <w:r>
        <w:rPr>
          <w:rFonts w:ascii="Tahoma" w:eastAsia="MS Mincho" w:hAnsi="Tahoma" w:cs="Tahoma"/>
          <w:b/>
          <w:color w:val="000000"/>
          <w:sz w:val="28"/>
          <w:szCs w:val="28"/>
        </w:rPr>
        <w:t xml:space="preserve"> p.m.</w:t>
      </w:r>
      <w:r>
        <w:rPr>
          <w:rFonts w:ascii="Tahoma" w:eastAsia="MS Mincho" w:hAnsi="Tahoma" w:cs="Tahoma"/>
          <w:b/>
          <w:color w:val="000000"/>
          <w:sz w:val="28"/>
          <w:szCs w:val="28"/>
        </w:rPr>
        <w:br/>
      </w:r>
      <w:r w:rsidR="00DF2D45" w:rsidRPr="00DF2D45">
        <w:rPr>
          <w:rFonts w:ascii="Tahoma" w:eastAsia="MS Mincho" w:hAnsi="Tahoma" w:cs="Tahoma"/>
          <w:b/>
          <w:color w:val="000000"/>
          <w:sz w:val="28"/>
          <w:szCs w:val="28"/>
        </w:rPr>
        <w:t>Centennial 2 Bldg</w:t>
      </w:r>
      <w:r w:rsidR="00DF2D45">
        <w:rPr>
          <w:rFonts w:ascii="Tahoma" w:eastAsia="MS Mincho" w:hAnsi="Tahoma" w:cs="Tahoma"/>
          <w:b/>
          <w:color w:val="000000"/>
          <w:sz w:val="28"/>
          <w:szCs w:val="28"/>
        </w:rPr>
        <w:t xml:space="preserve">. - </w:t>
      </w:r>
      <w:r w:rsidR="00DF2D45" w:rsidRPr="00DF2D45">
        <w:rPr>
          <w:rFonts w:ascii="Tahoma" w:eastAsia="MS Mincho" w:hAnsi="Tahoma" w:cs="Tahoma"/>
          <w:b/>
          <w:color w:val="000000"/>
          <w:sz w:val="28"/>
          <w:szCs w:val="28"/>
        </w:rPr>
        <w:t>2121 S. State St, Tacoma, WA 98405</w:t>
      </w:r>
      <w:r w:rsidR="00DF2D45" w:rsidRPr="00DF2D45">
        <w:rPr>
          <w:rFonts w:ascii="Tahoma" w:eastAsia="MS Mincho" w:hAnsi="Tahoma" w:cs="Tahoma"/>
          <w:b/>
          <w:color w:val="000000"/>
          <w:sz w:val="28"/>
          <w:szCs w:val="28"/>
        </w:rPr>
        <w:br/>
        <w:t>Mt. Baker Room / 2nd Floor</w:t>
      </w:r>
    </w:p>
    <w:p w:rsidR="002F614E" w:rsidRPr="002F614E" w:rsidRDefault="002F614E" w:rsidP="002F614E">
      <w:pPr>
        <w:jc w:val="center"/>
        <w:rPr>
          <w:rFonts w:ascii="Calibri" w:eastAsia="Calibri" w:hAnsi="Calibri" w:cs="Calibri"/>
          <w:b/>
          <w:color w:val="000000"/>
          <w:sz w:val="24"/>
        </w:rPr>
      </w:pPr>
    </w:p>
    <w:p w:rsidR="000C6922" w:rsidRPr="000C6922" w:rsidRDefault="000C6922" w:rsidP="000C6922">
      <w:pPr>
        <w:pStyle w:val="Title"/>
        <w:tabs>
          <w:tab w:val="left" w:pos="8640"/>
          <w:tab w:val="left" w:pos="10200"/>
          <w:tab w:val="left" w:leader="underscore" w:pos="14640"/>
        </w:tabs>
        <w:ind w:left="720"/>
        <w:outlineLvl w:val="0"/>
        <w:rPr>
          <w:bCs/>
          <w:sz w:val="22"/>
        </w:rPr>
      </w:pPr>
    </w:p>
    <w:p w:rsidR="000C6922" w:rsidRPr="000C6922" w:rsidRDefault="000C6922" w:rsidP="000C6922">
      <w:pPr>
        <w:pStyle w:val="Title"/>
        <w:tabs>
          <w:tab w:val="left" w:pos="8640"/>
          <w:tab w:val="left" w:pos="10200"/>
          <w:tab w:val="left" w:leader="underscore" w:pos="14640"/>
        </w:tabs>
        <w:ind w:left="720"/>
        <w:outlineLvl w:val="0"/>
        <w:rPr>
          <w:b w:val="0"/>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5"/>
        <w:gridCol w:w="7285"/>
      </w:tblGrid>
      <w:tr w:rsidR="008E1BFF" w:rsidRPr="008E1BFF" w:rsidTr="008E1BFF">
        <w:trPr>
          <w:trHeight w:val="854"/>
        </w:trPr>
        <w:tc>
          <w:tcPr>
            <w:tcW w:w="7110" w:type="dxa"/>
          </w:tcPr>
          <w:p w:rsidR="008E1BFF" w:rsidRPr="008E1BFF" w:rsidRDefault="00BD07E9" w:rsidP="00027CAB">
            <w:pPr>
              <w:rPr>
                <w:rFonts w:ascii="Tahoma" w:hAnsi="Tahoma" w:cs="Tahoma"/>
                <w:bCs/>
                <w:sz w:val="20"/>
                <w:szCs w:val="20"/>
              </w:rPr>
            </w:pPr>
            <w:r>
              <w:rPr>
                <w:rFonts w:ascii="Tahoma" w:hAnsi="Tahoma" w:cs="Tahoma"/>
                <w:b/>
                <w:bCs/>
                <w:sz w:val="20"/>
                <w:szCs w:val="20"/>
              </w:rPr>
              <w:t xml:space="preserve">WACF </w:t>
            </w:r>
            <w:r w:rsidR="008E1BFF" w:rsidRPr="008E1BFF">
              <w:rPr>
                <w:rFonts w:ascii="Tahoma" w:hAnsi="Tahoma" w:cs="Tahoma"/>
                <w:b/>
                <w:bCs/>
                <w:sz w:val="20"/>
                <w:szCs w:val="20"/>
              </w:rPr>
              <w:t>Members:</w:t>
            </w:r>
            <w:r w:rsidR="008E1BFF" w:rsidRPr="008E1BFF">
              <w:rPr>
                <w:rFonts w:ascii="Tahoma" w:hAnsi="Tahoma" w:cs="Tahoma"/>
                <w:bCs/>
                <w:sz w:val="20"/>
                <w:szCs w:val="20"/>
              </w:rPr>
              <w:t xml:space="preserve"> </w:t>
            </w:r>
            <w:r w:rsidR="00DF2D45">
              <w:rPr>
                <w:rFonts w:ascii="Tahoma" w:hAnsi="Tahoma" w:cs="Tahoma"/>
                <w:bCs/>
                <w:sz w:val="20"/>
                <w:szCs w:val="20"/>
              </w:rPr>
              <w:t xml:space="preserve">Tom Rembiesa, </w:t>
            </w:r>
            <w:r w:rsidR="00027CAB">
              <w:rPr>
                <w:rFonts w:ascii="Tahoma" w:hAnsi="Tahoma" w:cs="Tahoma"/>
                <w:bCs/>
                <w:sz w:val="20"/>
                <w:szCs w:val="20"/>
              </w:rPr>
              <w:t xml:space="preserve">Charlotte Booth, </w:t>
            </w:r>
            <w:r>
              <w:rPr>
                <w:rFonts w:ascii="Tahoma" w:hAnsi="Tahoma" w:cs="Tahoma"/>
                <w:bCs/>
                <w:sz w:val="20"/>
                <w:szCs w:val="20"/>
              </w:rPr>
              <w:t>Kerry Ann Shaughnessy</w:t>
            </w:r>
            <w:r w:rsidR="00E62601">
              <w:rPr>
                <w:rFonts w:ascii="Tahoma" w:hAnsi="Tahoma" w:cs="Tahoma"/>
                <w:bCs/>
                <w:sz w:val="20"/>
                <w:szCs w:val="20"/>
              </w:rPr>
              <w:t xml:space="preserve">, </w:t>
            </w:r>
            <w:r>
              <w:rPr>
                <w:rFonts w:ascii="Tahoma" w:hAnsi="Tahoma" w:cs="Tahoma"/>
                <w:bCs/>
                <w:sz w:val="20"/>
                <w:szCs w:val="20"/>
              </w:rPr>
              <w:t>Jeff Cla</w:t>
            </w:r>
            <w:r w:rsidR="005E1D21">
              <w:rPr>
                <w:rFonts w:ascii="Tahoma" w:hAnsi="Tahoma" w:cs="Tahoma"/>
                <w:bCs/>
                <w:sz w:val="20"/>
                <w:szCs w:val="20"/>
              </w:rPr>
              <w:t>re, Karen Brady</w:t>
            </w:r>
            <w:r w:rsidR="00E91A20">
              <w:rPr>
                <w:rFonts w:ascii="Tahoma" w:hAnsi="Tahoma" w:cs="Tahoma"/>
                <w:bCs/>
                <w:sz w:val="20"/>
                <w:szCs w:val="20"/>
              </w:rPr>
              <w:t xml:space="preserve"> </w:t>
            </w:r>
          </w:p>
        </w:tc>
        <w:tc>
          <w:tcPr>
            <w:tcW w:w="7290" w:type="dxa"/>
          </w:tcPr>
          <w:p w:rsidR="008E1BFF" w:rsidRPr="008E1BFF" w:rsidRDefault="00BD07E9" w:rsidP="008E1BFF">
            <w:pPr>
              <w:rPr>
                <w:rFonts w:ascii="Tahoma" w:hAnsi="Tahoma" w:cs="Tahoma"/>
                <w:bCs/>
                <w:sz w:val="20"/>
                <w:szCs w:val="20"/>
              </w:rPr>
            </w:pPr>
            <w:r>
              <w:rPr>
                <w:rFonts w:ascii="Tahoma" w:hAnsi="Tahoma" w:cs="Tahoma"/>
                <w:b/>
                <w:bCs/>
                <w:sz w:val="20"/>
                <w:szCs w:val="20"/>
              </w:rPr>
              <w:t xml:space="preserve">CA </w:t>
            </w:r>
            <w:r w:rsidR="008E1BFF" w:rsidRPr="008E1BFF">
              <w:rPr>
                <w:rFonts w:ascii="Tahoma" w:hAnsi="Tahoma" w:cs="Tahoma"/>
                <w:b/>
                <w:bCs/>
                <w:sz w:val="20"/>
                <w:szCs w:val="20"/>
              </w:rPr>
              <w:t>Members</w:t>
            </w:r>
            <w:r w:rsidR="008E1BFF" w:rsidRPr="008E1BFF">
              <w:rPr>
                <w:rFonts w:ascii="Tahoma" w:hAnsi="Tahoma" w:cs="Tahoma"/>
                <w:bCs/>
                <w:sz w:val="20"/>
                <w:szCs w:val="20"/>
              </w:rPr>
              <w:t xml:space="preserve">: </w:t>
            </w:r>
            <w:r w:rsidR="005E1D21">
              <w:rPr>
                <w:rFonts w:ascii="Tahoma" w:hAnsi="Tahoma" w:cs="Tahoma"/>
                <w:bCs/>
                <w:sz w:val="20"/>
                <w:szCs w:val="20"/>
              </w:rPr>
              <w:t xml:space="preserve">Jennifer Strus, Jenny Heddin, David Del Villar Fox, Darcy Hancock, </w:t>
            </w:r>
            <w:r w:rsidR="005E1D21" w:rsidRPr="00BD07E9">
              <w:rPr>
                <w:rFonts w:ascii="Tahoma" w:hAnsi="Tahoma" w:cs="Tahoma"/>
                <w:bCs/>
                <w:sz w:val="20"/>
                <w:szCs w:val="20"/>
              </w:rPr>
              <w:t>Pam McKeown</w:t>
            </w:r>
            <w:r w:rsidR="005E1D21">
              <w:rPr>
                <w:rFonts w:ascii="Tahoma" w:hAnsi="Tahoma" w:cs="Tahoma"/>
                <w:bCs/>
                <w:sz w:val="20"/>
                <w:szCs w:val="20"/>
              </w:rPr>
              <w:t xml:space="preserve">, </w:t>
            </w:r>
            <w:r w:rsidR="00561D75" w:rsidRPr="00561D75">
              <w:rPr>
                <w:rFonts w:ascii="Tahoma" w:hAnsi="Tahoma" w:cs="Tahoma"/>
                <w:bCs/>
                <w:sz w:val="20"/>
                <w:szCs w:val="20"/>
              </w:rPr>
              <w:t>Connie Lambert-Eckel</w:t>
            </w:r>
            <w:r w:rsidR="00561D75">
              <w:rPr>
                <w:rFonts w:ascii="Tahoma" w:hAnsi="Tahoma" w:cs="Tahoma"/>
                <w:bCs/>
                <w:sz w:val="20"/>
                <w:szCs w:val="20"/>
              </w:rPr>
              <w:t xml:space="preserve">, </w:t>
            </w:r>
            <w:r w:rsidR="005E1D21">
              <w:rPr>
                <w:rFonts w:ascii="Tahoma" w:hAnsi="Tahoma" w:cs="Tahoma"/>
                <w:bCs/>
                <w:sz w:val="20"/>
                <w:szCs w:val="20"/>
              </w:rPr>
              <w:t>Doug Allison</w:t>
            </w:r>
            <w:r w:rsidR="00DF2D45">
              <w:rPr>
                <w:rFonts w:ascii="Tahoma" w:hAnsi="Tahoma" w:cs="Tahoma"/>
                <w:bCs/>
                <w:sz w:val="20"/>
                <w:szCs w:val="20"/>
              </w:rPr>
              <w:t>, Toni Sabastian</w:t>
            </w:r>
          </w:p>
        </w:tc>
      </w:tr>
    </w:tbl>
    <w:p w:rsidR="008E1BFF" w:rsidRDefault="008E1BFF" w:rsidP="005D7BF1">
      <w:pPr>
        <w:jc w:val="center"/>
        <w:rPr>
          <w:rFonts w:ascii="Tahoma" w:hAnsi="Tahoma" w:cs="Tahoma"/>
          <w:b/>
          <w:sz w:val="24"/>
        </w:rPr>
      </w:pPr>
    </w:p>
    <w:p w:rsidR="00C120F9" w:rsidRPr="00123657" w:rsidRDefault="00C120F9">
      <w:pPr>
        <w:jc w:val="center"/>
        <w:rPr>
          <w:rFonts w:ascii="Tahoma" w:hAnsi="Tahoma" w:cs="Tahoma"/>
          <w:b/>
          <w:sz w:val="16"/>
        </w:rPr>
      </w:pPr>
    </w:p>
    <w:tbl>
      <w:tblPr>
        <w:tblW w:w="1443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7"/>
        <w:gridCol w:w="6840"/>
        <w:gridCol w:w="3690"/>
      </w:tblGrid>
      <w:tr w:rsidR="00EE7A55" w:rsidRPr="00123657" w:rsidTr="005E1D21">
        <w:trPr>
          <w:cantSplit/>
          <w:tblHeader/>
        </w:trPr>
        <w:tc>
          <w:tcPr>
            <w:tcW w:w="3907" w:type="dxa"/>
            <w:shd w:val="clear" w:color="auto" w:fill="D9D9D9"/>
          </w:tcPr>
          <w:p w:rsidR="00EE7A55" w:rsidRPr="00123657" w:rsidRDefault="00EE7A55">
            <w:pPr>
              <w:pStyle w:val="Heading6"/>
              <w:jc w:val="center"/>
              <w:rPr>
                <w:rFonts w:ascii="Tahoma" w:hAnsi="Tahoma" w:cs="Tahoma"/>
                <w:b w:val="0"/>
              </w:rPr>
            </w:pPr>
            <w:r w:rsidRPr="00123657">
              <w:rPr>
                <w:rFonts w:ascii="Tahoma" w:hAnsi="Tahoma" w:cs="Tahoma"/>
              </w:rPr>
              <w:t xml:space="preserve">Agenda Item </w:t>
            </w:r>
          </w:p>
        </w:tc>
        <w:tc>
          <w:tcPr>
            <w:tcW w:w="6840" w:type="dxa"/>
            <w:shd w:val="clear" w:color="auto" w:fill="D9D9D9"/>
          </w:tcPr>
          <w:p w:rsidR="00EE7A55" w:rsidRPr="00123657" w:rsidRDefault="00EE7A55">
            <w:pPr>
              <w:jc w:val="center"/>
              <w:rPr>
                <w:rFonts w:ascii="Tahoma" w:hAnsi="Tahoma" w:cs="Tahoma"/>
                <w:b/>
                <w:sz w:val="20"/>
              </w:rPr>
            </w:pPr>
            <w:r w:rsidRPr="00123657">
              <w:rPr>
                <w:rFonts w:ascii="Tahoma" w:hAnsi="Tahoma" w:cs="Tahoma"/>
                <w:b/>
                <w:sz w:val="20"/>
              </w:rPr>
              <w:t>Discussion</w:t>
            </w:r>
          </w:p>
        </w:tc>
        <w:tc>
          <w:tcPr>
            <w:tcW w:w="3690" w:type="dxa"/>
            <w:shd w:val="clear" w:color="auto" w:fill="D9D9D9"/>
          </w:tcPr>
          <w:p w:rsidR="00EE7A55" w:rsidRPr="00123657" w:rsidRDefault="00EE7A55">
            <w:pPr>
              <w:jc w:val="center"/>
              <w:rPr>
                <w:rFonts w:ascii="Tahoma" w:hAnsi="Tahoma" w:cs="Tahoma"/>
                <w:b/>
                <w:sz w:val="20"/>
              </w:rPr>
            </w:pPr>
            <w:r w:rsidRPr="00123657">
              <w:rPr>
                <w:rFonts w:ascii="Tahoma" w:hAnsi="Tahoma" w:cs="Tahoma"/>
                <w:b/>
                <w:sz w:val="20"/>
              </w:rPr>
              <w:t>Decisions</w:t>
            </w:r>
          </w:p>
        </w:tc>
      </w:tr>
      <w:tr w:rsidR="00EE7A55" w:rsidRPr="00123657" w:rsidTr="004B20BD">
        <w:trPr>
          <w:trHeight w:val="720"/>
        </w:trPr>
        <w:tc>
          <w:tcPr>
            <w:tcW w:w="3907" w:type="dxa"/>
          </w:tcPr>
          <w:p w:rsidR="00EE7A55" w:rsidRPr="005E1D21" w:rsidRDefault="00DF2D45" w:rsidP="005E1D21">
            <w:pPr>
              <w:numPr>
                <w:ilvl w:val="0"/>
                <w:numId w:val="1"/>
              </w:numPr>
              <w:tabs>
                <w:tab w:val="clear" w:pos="720"/>
                <w:tab w:val="num" w:pos="360"/>
              </w:tabs>
              <w:spacing w:before="60" w:after="120"/>
              <w:ind w:left="360"/>
              <w:rPr>
                <w:rFonts w:ascii="Tahoma" w:hAnsi="Tahoma" w:cs="Tahoma"/>
                <w:b/>
                <w:sz w:val="20"/>
                <w:szCs w:val="20"/>
              </w:rPr>
            </w:pPr>
            <w:r>
              <w:rPr>
                <w:rFonts w:ascii="Tahoma" w:hAnsi="Tahoma" w:cs="Tahoma"/>
                <w:b/>
                <w:sz w:val="20"/>
                <w:szCs w:val="20"/>
              </w:rPr>
              <w:t>Update on what items were / were not included in the Governor’s budget</w:t>
            </w:r>
          </w:p>
        </w:tc>
        <w:tc>
          <w:tcPr>
            <w:tcW w:w="6840" w:type="dxa"/>
          </w:tcPr>
          <w:p w:rsidR="00E002AC" w:rsidRDefault="00E002AC" w:rsidP="004A6A32">
            <w:pPr>
              <w:rPr>
                <w:rFonts w:ascii="Tahoma" w:hAnsi="Tahoma" w:cs="Tahoma"/>
                <w:iCs/>
                <w:sz w:val="20"/>
              </w:rPr>
            </w:pPr>
            <w:r>
              <w:rPr>
                <w:rFonts w:ascii="Tahoma" w:hAnsi="Tahoma" w:cs="Tahoma"/>
                <w:iCs/>
                <w:sz w:val="20"/>
              </w:rPr>
              <w:t>Adds:</w:t>
            </w:r>
          </w:p>
          <w:p w:rsidR="00E002AC" w:rsidRDefault="00E002AC" w:rsidP="004A6A32">
            <w:pPr>
              <w:pStyle w:val="ListParagraph"/>
              <w:numPr>
                <w:ilvl w:val="0"/>
                <w:numId w:val="39"/>
              </w:numPr>
              <w:rPr>
                <w:rFonts w:ascii="Tahoma" w:hAnsi="Tahoma" w:cs="Tahoma"/>
                <w:iCs/>
                <w:sz w:val="20"/>
              </w:rPr>
            </w:pPr>
            <w:r>
              <w:rPr>
                <w:rFonts w:ascii="Tahoma" w:hAnsi="Tahoma" w:cs="Tahoma"/>
                <w:iCs/>
                <w:sz w:val="20"/>
              </w:rPr>
              <w:t>Partial funding for additional C</w:t>
            </w:r>
            <w:r w:rsidR="001158E2">
              <w:rPr>
                <w:rFonts w:ascii="Tahoma" w:hAnsi="Tahoma" w:cs="Tahoma"/>
                <w:iCs/>
                <w:sz w:val="20"/>
              </w:rPr>
              <w:t>A</w:t>
            </w:r>
            <w:r>
              <w:rPr>
                <w:rFonts w:ascii="Tahoma" w:hAnsi="Tahoma" w:cs="Tahoma"/>
                <w:iCs/>
                <w:sz w:val="20"/>
              </w:rPr>
              <w:t xml:space="preserve"> workers – </w:t>
            </w:r>
            <w:r w:rsidR="00F8138E">
              <w:rPr>
                <w:rFonts w:ascii="Tahoma" w:hAnsi="Tahoma" w:cs="Tahoma"/>
                <w:iCs/>
                <w:sz w:val="20"/>
              </w:rPr>
              <w:t xml:space="preserve">stated as </w:t>
            </w:r>
            <w:r>
              <w:rPr>
                <w:rFonts w:ascii="Tahoma" w:hAnsi="Tahoma" w:cs="Tahoma"/>
                <w:iCs/>
                <w:sz w:val="20"/>
              </w:rPr>
              <w:t>50 additional staff but of that 50, 18 are repurposing existing staff</w:t>
            </w:r>
          </w:p>
          <w:p w:rsidR="008B51D9" w:rsidRDefault="008B51D9" w:rsidP="004A6A32">
            <w:pPr>
              <w:pStyle w:val="ListParagraph"/>
              <w:numPr>
                <w:ilvl w:val="0"/>
                <w:numId w:val="39"/>
              </w:numPr>
              <w:rPr>
                <w:rFonts w:ascii="Tahoma" w:hAnsi="Tahoma" w:cs="Tahoma"/>
                <w:iCs/>
                <w:sz w:val="20"/>
              </w:rPr>
            </w:pPr>
            <w:r>
              <w:rPr>
                <w:rFonts w:ascii="Tahoma" w:hAnsi="Tahoma" w:cs="Tahoma"/>
                <w:iCs/>
                <w:sz w:val="20"/>
              </w:rPr>
              <w:t xml:space="preserve">Extending FAR </w:t>
            </w:r>
            <w:r w:rsidR="001158E2">
              <w:rPr>
                <w:rFonts w:ascii="Tahoma" w:hAnsi="Tahoma" w:cs="Tahoma"/>
                <w:iCs/>
                <w:sz w:val="20"/>
              </w:rPr>
              <w:t xml:space="preserve">timeframe, (the future of waivers is uncertain). </w:t>
            </w:r>
          </w:p>
          <w:p w:rsidR="008B51D9" w:rsidRDefault="008B51D9" w:rsidP="004A6A32">
            <w:pPr>
              <w:pStyle w:val="ListParagraph"/>
              <w:numPr>
                <w:ilvl w:val="0"/>
                <w:numId w:val="39"/>
              </w:numPr>
              <w:rPr>
                <w:rFonts w:ascii="Tahoma" w:hAnsi="Tahoma" w:cs="Tahoma"/>
                <w:iCs/>
                <w:sz w:val="20"/>
              </w:rPr>
            </w:pPr>
            <w:r>
              <w:rPr>
                <w:rFonts w:ascii="Tahoma" w:hAnsi="Tahoma" w:cs="Tahoma"/>
                <w:iCs/>
                <w:sz w:val="20"/>
              </w:rPr>
              <w:t>Funding Wendy’s Wonderful Kids</w:t>
            </w:r>
          </w:p>
          <w:p w:rsidR="008B51D9" w:rsidRDefault="008B51D9" w:rsidP="004A6A32">
            <w:pPr>
              <w:pStyle w:val="ListParagraph"/>
              <w:numPr>
                <w:ilvl w:val="0"/>
                <w:numId w:val="39"/>
              </w:numPr>
              <w:rPr>
                <w:rFonts w:ascii="Tahoma" w:hAnsi="Tahoma" w:cs="Tahoma"/>
                <w:iCs/>
                <w:sz w:val="20"/>
              </w:rPr>
            </w:pPr>
            <w:r>
              <w:rPr>
                <w:rFonts w:ascii="Tahoma" w:hAnsi="Tahoma" w:cs="Tahoma"/>
                <w:iCs/>
                <w:sz w:val="20"/>
              </w:rPr>
              <w:t>Significant investment on compensation (class-wide pay increases)</w:t>
            </w:r>
          </w:p>
          <w:p w:rsidR="008B51D9" w:rsidRPr="004A6A32" w:rsidRDefault="008B51D9" w:rsidP="001158E2">
            <w:pPr>
              <w:pStyle w:val="ListParagraph"/>
              <w:ind w:left="360"/>
              <w:rPr>
                <w:rFonts w:ascii="Tahoma" w:hAnsi="Tahoma" w:cs="Tahoma"/>
                <w:iCs/>
                <w:sz w:val="20"/>
              </w:rPr>
            </w:pPr>
          </w:p>
          <w:p w:rsidR="00E002AC" w:rsidRDefault="00E002AC" w:rsidP="004A6A32">
            <w:pPr>
              <w:rPr>
                <w:rFonts w:ascii="Tahoma" w:hAnsi="Tahoma" w:cs="Tahoma"/>
                <w:iCs/>
                <w:sz w:val="20"/>
              </w:rPr>
            </w:pPr>
            <w:r>
              <w:rPr>
                <w:rFonts w:ascii="Tahoma" w:hAnsi="Tahoma" w:cs="Tahoma"/>
                <w:iCs/>
                <w:sz w:val="20"/>
              </w:rPr>
              <w:t>Not Funded:</w:t>
            </w:r>
          </w:p>
          <w:p w:rsidR="00E002AC" w:rsidRDefault="00E002AC" w:rsidP="004A6A32">
            <w:pPr>
              <w:pStyle w:val="ListParagraph"/>
              <w:numPr>
                <w:ilvl w:val="0"/>
                <w:numId w:val="39"/>
              </w:numPr>
              <w:rPr>
                <w:rFonts w:ascii="Tahoma" w:hAnsi="Tahoma" w:cs="Tahoma"/>
                <w:iCs/>
                <w:sz w:val="20"/>
              </w:rPr>
            </w:pPr>
            <w:r w:rsidRPr="004A6A32">
              <w:rPr>
                <w:rFonts w:ascii="Tahoma" w:hAnsi="Tahoma" w:cs="Tahoma"/>
                <w:iCs/>
                <w:sz w:val="20"/>
              </w:rPr>
              <w:t>Reimbursement for Parent/Child Visitation</w:t>
            </w:r>
            <w:r w:rsidR="001158E2">
              <w:rPr>
                <w:rFonts w:ascii="Tahoma" w:hAnsi="Tahoma" w:cs="Tahoma"/>
                <w:iCs/>
                <w:sz w:val="20"/>
              </w:rPr>
              <w:t xml:space="preserve"> mileage</w:t>
            </w:r>
          </w:p>
          <w:p w:rsidR="00B74D70" w:rsidRDefault="001158E2" w:rsidP="004A6A32">
            <w:pPr>
              <w:pStyle w:val="ListParagraph"/>
              <w:numPr>
                <w:ilvl w:val="0"/>
                <w:numId w:val="39"/>
              </w:numPr>
              <w:rPr>
                <w:rFonts w:ascii="Tahoma" w:hAnsi="Tahoma" w:cs="Tahoma"/>
                <w:iCs/>
                <w:sz w:val="20"/>
              </w:rPr>
            </w:pPr>
            <w:r>
              <w:rPr>
                <w:rFonts w:ascii="Tahoma" w:hAnsi="Tahoma" w:cs="Tahoma"/>
                <w:iCs/>
                <w:sz w:val="20"/>
              </w:rPr>
              <w:t>Higher rate</w:t>
            </w:r>
            <w:r w:rsidR="00B74D70">
              <w:rPr>
                <w:rFonts w:ascii="Tahoma" w:hAnsi="Tahoma" w:cs="Tahoma"/>
                <w:iCs/>
                <w:sz w:val="20"/>
              </w:rPr>
              <w:t xml:space="preserve"> for </w:t>
            </w:r>
            <w:r>
              <w:rPr>
                <w:rFonts w:ascii="Tahoma" w:hAnsi="Tahoma" w:cs="Tahoma"/>
                <w:iCs/>
                <w:sz w:val="20"/>
              </w:rPr>
              <w:t xml:space="preserve">time spent in </w:t>
            </w:r>
            <w:r w:rsidR="00B74D70">
              <w:rPr>
                <w:rFonts w:ascii="Tahoma" w:hAnsi="Tahoma" w:cs="Tahoma"/>
                <w:iCs/>
                <w:sz w:val="20"/>
              </w:rPr>
              <w:t>trave</w:t>
            </w:r>
            <w:r>
              <w:rPr>
                <w:rFonts w:ascii="Tahoma" w:hAnsi="Tahoma" w:cs="Tahoma"/>
                <w:iCs/>
                <w:sz w:val="20"/>
              </w:rPr>
              <w:t xml:space="preserve">l to client homes </w:t>
            </w:r>
          </w:p>
          <w:p w:rsidR="00E002AC" w:rsidRDefault="00E002AC" w:rsidP="004A6A32">
            <w:pPr>
              <w:pStyle w:val="ListParagraph"/>
              <w:numPr>
                <w:ilvl w:val="0"/>
                <w:numId w:val="39"/>
              </w:numPr>
              <w:rPr>
                <w:rFonts w:ascii="Tahoma" w:hAnsi="Tahoma" w:cs="Tahoma"/>
                <w:iCs/>
                <w:sz w:val="20"/>
              </w:rPr>
            </w:pPr>
            <w:r>
              <w:rPr>
                <w:rFonts w:ascii="Tahoma" w:hAnsi="Tahoma" w:cs="Tahoma"/>
                <w:iCs/>
                <w:sz w:val="20"/>
              </w:rPr>
              <w:t>Licensing staff</w:t>
            </w:r>
          </w:p>
          <w:p w:rsidR="00B74D70" w:rsidRDefault="00B74D70" w:rsidP="004A6A32">
            <w:pPr>
              <w:pStyle w:val="ListParagraph"/>
              <w:numPr>
                <w:ilvl w:val="0"/>
                <w:numId w:val="39"/>
              </w:numPr>
              <w:rPr>
                <w:rFonts w:ascii="Tahoma" w:hAnsi="Tahoma" w:cs="Tahoma"/>
                <w:iCs/>
                <w:sz w:val="20"/>
              </w:rPr>
            </w:pPr>
            <w:r>
              <w:rPr>
                <w:rFonts w:ascii="Tahoma" w:hAnsi="Tahoma" w:cs="Tahoma"/>
                <w:iCs/>
                <w:sz w:val="20"/>
              </w:rPr>
              <w:t>Performance Based Contracting</w:t>
            </w:r>
            <w:r w:rsidR="001158E2">
              <w:rPr>
                <w:rFonts w:ascii="Tahoma" w:hAnsi="Tahoma" w:cs="Tahoma"/>
                <w:iCs/>
                <w:sz w:val="20"/>
              </w:rPr>
              <w:t xml:space="preserve"> expansion</w:t>
            </w:r>
          </w:p>
          <w:p w:rsidR="009E2CD8" w:rsidRPr="00123657" w:rsidRDefault="009E2CD8" w:rsidP="001158E2">
            <w:pPr>
              <w:pStyle w:val="ListParagraph"/>
              <w:ind w:left="360"/>
              <w:rPr>
                <w:rFonts w:ascii="Tahoma" w:hAnsi="Tahoma" w:cs="Tahoma"/>
                <w:iCs/>
                <w:sz w:val="20"/>
              </w:rPr>
            </w:pPr>
          </w:p>
        </w:tc>
        <w:tc>
          <w:tcPr>
            <w:tcW w:w="3690" w:type="dxa"/>
          </w:tcPr>
          <w:p w:rsidR="00EE7A55" w:rsidRPr="00123657" w:rsidRDefault="00EE7A55" w:rsidP="00175DA9">
            <w:pPr>
              <w:spacing w:before="60"/>
              <w:rPr>
                <w:rFonts w:ascii="Tahoma" w:hAnsi="Tahoma" w:cs="Tahoma"/>
                <w:iCs/>
                <w:sz w:val="20"/>
              </w:rPr>
            </w:pPr>
          </w:p>
        </w:tc>
      </w:tr>
      <w:tr w:rsidR="00EE7A55" w:rsidRPr="00123657" w:rsidTr="005E1D21">
        <w:tblPrEx>
          <w:tblCellMar>
            <w:left w:w="115" w:type="dxa"/>
            <w:right w:w="115" w:type="dxa"/>
          </w:tblCellMar>
        </w:tblPrEx>
        <w:trPr>
          <w:trHeight w:val="720"/>
        </w:trPr>
        <w:tc>
          <w:tcPr>
            <w:tcW w:w="3907" w:type="dxa"/>
            <w:tcBorders>
              <w:bottom w:val="single" w:sz="4" w:space="0" w:color="auto"/>
            </w:tcBorders>
          </w:tcPr>
          <w:p w:rsidR="00EE7A55" w:rsidRPr="005E1D21" w:rsidRDefault="006406CE" w:rsidP="00027CAB">
            <w:pPr>
              <w:pStyle w:val="BodyTextIndent3"/>
              <w:numPr>
                <w:ilvl w:val="0"/>
                <w:numId w:val="1"/>
              </w:numPr>
              <w:tabs>
                <w:tab w:val="clear" w:pos="720"/>
                <w:tab w:val="num" w:pos="360"/>
              </w:tabs>
              <w:spacing w:before="60" w:after="120"/>
              <w:ind w:left="360"/>
              <w:rPr>
                <w:rFonts w:ascii="Tahoma" w:hAnsi="Tahoma" w:cs="Tahoma"/>
                <w:bCs/>
                <w:szCs w:val="20"/>
              </w:rPr>
            </w:pPr>
            <w:r>
              <w:rPr>
                <w:rFonts w:ascii="Tahoma" w:hAnsi="Tahoma" w:cs="Tahoma"/>
                <w:bCs/>
                <w:szCs w:val="20"/>
              </w:rPr>
              <w:t>CA’s legislative priorities</w:t>
            </w:r>
          </w:p>
        </w:tc>
        <w:tc>
          <w:tcPr>
            <w:tcW w:w="6840" w:type="dxa"/>
            <w:tcBorders>
              <w:bottom w:val="single" w:sz="4" w:space="0" w:color="auto"/>
            </w:tcBorders>
          </w:tcPr>
          <w:p w:rsidR="00BE3328" w:rsidRDefault="00BE3328" w:rsidP="004A6A32">
            <w:pPr>
              <w:pStyle w:val="ListParagraph"/>
              <w:numPr>
                <w:ilvl w:val="0"/>
                <w:numId w:val="42"/>
              </w:numPr>
              <w:rPr>
                <w:rFonts w:ascii="Tahoma" w:hAnsi="Tahoma" w:cs="Tahoma"/>
                <w:bCs/>
                <w:sz w:val="20"/>
              </w:rPr>
            </w:pPr>
            <w:bookmarkStart w:id="0" w:name="_GoBack"/>
            <w:r>
              <w:rPr>
                <w:rFonts w:ascii="Tahoma" w:hAnsi="Tahoma" w:cs="Tahoma"/>
                <w:bCs/>
                <w:sz w:val="20"/>
              </w:rPr>
              <w:t>F</w:t>
            </w:r>
            <w:r w:rsidR="001158E2">
              <w:rPr>
                <w:rFonts w:ascii="Tahoma" w:hAnsi="Tahoma" w:cs="Tahoma"/>
                <w:bCs/>
                <w:sz w:val="20"/>
              </w:rPr>
              <w:t>AR</w:t>
            </w:r>
            <w:r>
              <w:rPr>
                <w:rFonts w:ascii="Tahoma" w:hAnsi="Tahoma" w:cs="Tahoma"/>
                <w:bCs/>
                <w:sz w:val="20"/>
              </w:rPr>
              <w:t xml:space="preserve"> bill</w:t>
            </w:r>
          </w:p>
          <w:p w:rsidR="00BE3328" w:rsidRDefault="00BE3328" w:rsidP="004A6A32">
            <w:pPr>
              <w:pStyle w:val="ListParagraph"/>
              <w:numPr>
                <w:ilvl w:val="0"/>
                <w:numId w:val="42"/>
              </w:numPr>
              <w:rPr>
                <w:rFonts w:ascii="Tahoma" w:hAnsi="Tahoma" w:cs="Tahoma"/>
                <w:bCs/>
                <w:sz w:val="20"/>
              </w:rPr>
            </w:pPr>
            <w:r>
              <w:rPr>
                <w:rFonts w:ascii="Tahoma" w:hAnsi="Tahoma" w:cs="Tahoma"/>
                <w:bCs/>
                <w:sz w:val="20"/>
              </w:rPr>
              <w:t>HB 1791 – States that CA needs to comply with the federal law, it may get included in a proviso at a cost of $2.6 million</w:t>
            </w:r>
          </w:p>
          <w:p w:rsidR="00BE3328" w:rsidRDefault="00BE3328" w:rsidP="004A6A32">
            <w:pPr>
              <w:pStyle w:val="ListParagraph"/>
              <w:numPr>
                <w:ilvl w:val="0"/>
                <w:numId w:val="42"/>
              </w:numPr>
              <w:rPr>
                <w:rFonts w:ascii="Tahoma" w:hAnsi="Tahoma" w:cs="Tahoma"/>
                <w:bCs/>
                <w:sz w:val="20"/>
              </w:rPr>
            </w:pPr>
            <w:r>
              <w:rPr>
                <w:rFonts w:ascii="Tahoma" w:hAnsi="Tahoma" w:cs="Tahoma"/>
                <w:bCs/>
                <w:sz w:val="20"/>
              </w:rPr>
              <w:t>Definition of Parent</w:t>
            </w:r>
          </w:p>
          <w:p w:rsidR="00BE3328" w:rsidRDefault="00BE3328" w:rsidP="004A6A32">
            <w:pPr>
              <w:pStyle w:val="ListParagraph"/>
              <w:numPr>
                <w:ilvl w:val="0"/>
                <w:numId w:val="42"/>
              </w:numPr>
              <w:rPr>
                <w:rFonts w:ascii="Tahoma" w:hAnsi="Tahoma" w:cs="Tahoma"/>
                <w:bCs/>
                <w:sz w:val="20"/>
              </w:rPr>
            </w:pPr>
            <w:r>
              <w:rPr>
                <w:rFonts w:ascii="Tahoma" w:hAnsi="Tahoma" w:cs="Tahoma"/>
                <w:bCs/>
                <w:sz w:val="20"/>
              </w:rPr>
              <w:t>Information sharing with CRC providers</w:t>
            </w:r>
            <w:bookmarkEnd w:id="0"/>
          </w:p>
          <w:p w:rsidR="002D52D2" w:rsidRPr="000E3FB3" w:rsidRDefault="00BE3328" w:rsidP="004A6A32">
            <w:pPr>
              <w:pStyle w:val="ListParagraph"/>
              <w:ind w:left="0"/>
            </w:pPr>
            <w:r>
              <w:rPr>
                <w:rFonts w:ascii="Tahoma" w:hAnsi="Tahoma" w:cs="Tahoma"/>
                <w:bCs/>
                <w:sz w:val="20"/>
              </w:rPr>
              <w:t xml:space="preserve"> </w:t>
            </w:r>
          </w:p>
        </w:tc>
        <w:tc>
          <w:tcPr>
            <w:tcW w:w="3690" w:type="dxa"/>
            <w:tcBorders>
              <w:bottom w:val="single" w:sz="4" w:space="0" w:color="auto"/>
            </w:tcBorders>
          </w:tcPr>
          <w:p w:rsidR="00EE7A55" w:rsidRPr="00894560" w:rsidRDefault="00EE7A55" w:rsidP="00EE7A55">
            <w:pPr>
              <w:rPr>
                <w:rFonts w:ascii="Tahoma" w:hAnsi="Tahoma" w:cs="Tahoma"/>
                <w:b/>
                <w:bCs/>
                <w:sz w:val="20"/>
              </w:rPr>
            </w:pPr>
          </w:p>
          <w:p w:rsidR="00036A44" w:rsidRPr="00894560" w:rsidRDefault="00036A44" w:rsidP="00EE7A55">
            <w:pPr>
              <w:rPr>
                <w:rFonts w:ascii="Tahoma" w:hAnsi="Tahoma" w:cs="Tahoma"/>
                <w:b/>
                <w:bCs/>
                <w:sz w:val="20"/>
              </w:rPr>
            </w:pPr>
          </w:p>
        </w:tc>
      </w:tr>
      <w:tr w:rsidR="00EE7A55" w:rsidRPr="00123657" w:rsidTr="005E1D21">
        <w:tblPrEx>
          <w:tblCellMar>
            <w:left w:w="115" w:type="dxa"/>
            <w:right w:w="115" w:type="dxa"/>
          </w:tblCellMar>
        </w:tblPrEx>
        <w:trPr>
          <w:trHeight w:val="720"/>
        </w:trPr>
        <w:tc>
          <w:tcPr>
            <w:tcW w:w="3907" w:type="dxa"/>
          </w:tcPr>
          <w:p w:rsidR="00EE7A55" w:rsidRPr="005E1D21" w:rsidRDefault="005E1D21" w:rsidP="00523E8D">
            <w:pPr>
              <w:numPr>
                <w:ilvl w:val="0"/>
                <w:numId w:val="1"/>
              </w:numPr>
              <w:tabs>
                <w:tab w:val="clear" w:pos="720"/>
                <w:tab w:val="num" w:pos="365"/>
              </w:tabs>
              <w:spacing w:before="60"/>
              <w:ind w:left="365"/>
              <w:rPr>
                <w:rFonts w:ascii="Tahoma" w:hAnsi="Tahoma" w:cs="Tahoma"/>
                <w:b/>
                <w:sz w:val="20"/>
                <w:szCs w:val="20"/>
              </w:rPr>
            </w:pPr>
            <w:r>
              <w:rPr>
                <w:rFonts w:ascii="Tahoma" w:hAnsi="Tahoma" w:cs="Tahoma"/>
                <w:b/>
                <w:sz w:val="20"/>
                <w:szCs w:val="20"/>
              </w:rPr>
              <w:lastRenderedPageBreak/>
              <w:t xml:space="preserve">WACF </w:t>
            </w:r>
            <w:r w:rsidR="006406CE">
              <w:rPr>
                <w:rFonts w:ascii="Tahoma" w:hAnsi="Tahoma" w:cs="Tahoma"/>
                <w:b/>
                <w:sz w:val="20"/>
                <w:szCs w:val="20"/>
              </w:rPr>
              <w:t>support for implementation and funding of the Blue Ribbon’s Commission’s proposal for a new cabinet level department</w:t>
            </w:r>
          </w:p>
        </w:tc>
        <w:tc>
          <w:tcPr>
            <w:tcW w:w="6840" w:type="dxa"/>
          </w:tcPr>
          <w:p w:rsidR="00EE7A55" w:rsidRPr="00446439" w:rsidRDefault="00BE3328" w:rsidP="001158E2">
            <w:pPr>
              <w:rPr>
                <w:rFonts w:ascii="Tahoma" w:hAnsi="Tahoma" w:cs="Tahoma"/>
                <w:sz w:val="20"/>
                <w:szCs w:val="20"/>
              </w:rPr>
            </w:pPr>
            <w:r>
              <w:rPr>
                <w:rFonts w:ascii="Tahoma" w:hAnsi="Tahoma" w:cs="Tahoma"/>
                <w:sz w:val="20"/>
                <w:szCs w:val="20"/>
              </w:rPr>
              <w:t xml:space="preserve">CA has some concerns with the </w:t>
            </w:r>
            <w:r w:rsidR="001158E2">
              <w:rPr>
                <w:rFonts w:ascii="Tahoma" w:hAnsi="Tahoma" w:cs="Tahoma"/>
                <w:sz w:val="20"/>
                <w:szCs w:val="20"/>
              </w:rPr>
              <w:t>changes</w:t>
            </w:r>
            <w:r>
              <w:rPr>
                <w:rFonts w:ascii="Tahoma" w:hAnsi="Tahoma" w:cs="Tahoma"/>
                <w:sz w:val="20"/>
                <w:szCs w:val="20"/>
              </w:rPr>
              <w:t xml:space="preserve"> that </w:t>
            </w:r>
            <w:r w:rsidR="001158E2">
              <w:rPr>
                <w:rFonts w:ascii="Tahoma" w:hAnsi="Tahoma" w:cs="Tahoma"/>
                <w:sz w:val="20"/>
                <w:szCs w:val="20"/>
              </w:rPr>
              <w:t>were made in the substitute bills, especially</w:t>
            </w:r>
            <w:r>
              <w:rPr>
                <w:rFonts w:ascii="Tahoma" w:hAnsi="Tahoma" w:cs="Tahoma"/>
                <w:sz w:val="20"/>
                <w:szCs w:val="20"/>
              </w:rPr>
              <w:t xml:space="preserve"> with the performance based contracting </w:t>
            </w:r>
            <w:r w:rsidR="001158E2">
              <w:rPr>
                <w:rFonts w:ascii="Tahoma" w:hAnsi="Tahoma" w:cs="Tahoma"/>
                <w:sz w:val="20"/>
                <w:szCs w:val="20"/>
              </w:rPr>
              <w:t>requirements</w:t>
            </w:r>
            <w:r>
              <w:rPr>
                <w:rFonts w:ascii="Tahoma" w:hAnsi="Tahoma" w:cs="Tahoma"/>
                <w:sz w:val="20"/>
                <w:szCs w:val="20"/>
              </w:rPr>
              <w:t>. This is in</w:t>
            </w:r>
            <w:r w:rsidR="001158E2">
              <w:rPr>
                <w:rFonts w:ascii="Tahoma" w:hAnsi="Tahoma" w:cs="Tahoma"/>
                <w:sz w:val="20"/>
                <w:szCs w:val="20"/>
              </w:rPr>
              <w:t xml:space="preserve"> </w:t>
            </w:r>
            <w:r>
              <w:rPr>
                <w:rFonts w:ascii="Tahoma" w:hAnsi="Tahoma" w:cs="Tahoma"/>
                <w:sz w:val="20"/>
                <w:szCs w:val="20"/>
              </w:rPr>
              <w:t xml:space="preserve">line with WACF’s concerns. </w:t>
            </w:r>
          </w:p>
        </w:tc>
        <w:tc>
          <w:tcPr>
            <w:tcW w:w="3690" w:type="dxa"/>
          </w:tcPr>
          <w:p w:rsidR="00EE7A55" w:rsidRPr="00123657" w:rsidRDefault="00EE7A55" w:rsidP="005D1FF4">
            <w:pPr>
              <w:rPr>
                <w:rFonts w:ascii="Tahoma" w:hAnsi="Tahoma" w:cs="Tahoma"/>
                <w:sz w:val="20"/>
              </w:rPr>
            </w:pPr>
          </w:p>
        </w:tc>
      </w:tr>
      <w:tr w:rsidR="007343ED" w:rsidRPr="00123657" w:rsidTr="005E1D21">
        <w:tblPrEx>
          <w:tblCellMar>
            <w:left w:w="115" w:type="dxa"/>
            <w:right w:w="115" w:type="dxa"/>
          </w:tblCellMar>
        </w:tblPrEx>
        <w:trPr>
          <w:trHeight w:val="720"/>
        </w:trPr>
        <w:tc>
          <w:tcPr>
            <w:tcW w:w="3907" w:type="dxa"/>
          </w:tcPr>
          <w:p w:rsidR="007343ED" w:rsidRPr="005E1D21" w:rsidRDefault="006406CE" w:rsidP="00523E8D">
            <w:pPr>
              <w:numPr>
                <w:ilvl w:val="0"/>
                <w:numId w:val="1"/>
              </w:numPr>
              <w:tabs>
                <w:tab w:val="clear" w:pos="720"/>
                <w:tab w:val="num" w:pos="365"/>
              </w:tabs>
              <w:spacing w:before="60"/>
              <w:ind w:left="365"/>
              <w:rPr>
                <w:rFonts w:ascii="Tahoma" w:hAnsi="Tahoma" w:cs="Tahoma"/>
                <w:b/>
                <w:bCs/>
                <w:sz w:val="20"/>
                <w:szCs w:val="20"/>
              </w:rPr>
            </w:pPr>
            <w:r>
              <w:rPr>
                <w:rFonts w:ascii="Tahoma" w:hAnsi="Tahoma" w:cs="Tahoma"/>
                <w:b/>
                <w:bCs/>
                <w:sz w:val="20"/>
                <w:szCs w:val="20"/>
              </w:rPr>
              <w:t>Continuum of Care Report and strategy for moving forward</w:t>
            </w:r>
          </w:p>
        </w:tc>
        <w:tc>
          <w:tcPr>
            <w:tcW w:w="6840" w:type="dxa"/>
          </w:tcPr>
          <w:p w:rsidR="001671AB" w:rsidRDefault="001671AB" w:rsidP="004A6A32">
            <w:pPr>
              <w:rPr>
                <w:rFonts w:ascii="Tahoma" w:hAnsi="Tahoma" w:cs="Tahoma"/>
                <w:sz w:val="20"/>
                <w:szCs w:val="20"/>
              </w:rPr>
            </w:pPr>
            <w:r w:rsidRPr="004A6A32">
              <w:rPr>
                <w:rFonts w:ascii="Tahoma" w:hAnsi="Tahoma" w:cs="Tahoma"/>
                <w:sz w:val="20"/>
                <w:szCs w:val="20"/>
              </w:rPr>
              <w:t xml:space="preserve">We touched briefly on the process to the extent that it started late </w:t>
            </w:r>
            <w:r w:rsidR="001158E2" w:rsidRPr="004A6A32">
              <w:rPr>
                <w:rFonts w:ascii="Tahoma" w:hAnsi="Tahoma" w:cs="Tahoma"/>
                <w:sz w:val="20"/>
                <w:szCs w:val="20"/>
              </w:rPr>
              <w:t>and stakeholder</w:t>
            </w:r>
            <w:r w:rsidRPr="004A6A32">
              <w:rPr>
                <w:rFonts w:ascii="Tahoma" w:hAnsi="Tahoma" w:cs="Tahoma"/>
                <w:sz w:val="20"/>
                <w:szCs w:val="20"/>
              </w:rPr>
              <w:t xml:space="preserve"> meetings offered limited time for a robust </w:t>
            </w:r>
            <w:r w:rsidR="001158E2">
              <w:rPr>
                <w:rFonts w:ascii="Tahoma" w:hAnsi="Tahoma" w:cs="Tahoma"/>
                <w:sz w:val="20"/>
                <w:szCs w:val="20"/>
              </w:rPr>
              <w:t>discussion</w:t>
            </w:r>
            <w:r w:rsidRPr="004A6A32">
              <w:rPr>
                <w:rFonts w:ascii="Tahoma" w:hAnsi="Tahoma" w:cs="Tahoma"/>
                <w:sz w:val="20"/>
                <w:szCs w:val="20"/>
              </w:rPr>
              <w:t xml:space="preserve">. </w:t>
            </w:r>
            <w:r w:rsidR="004A669D">
              <w:rPr>
                <w:rFonts w:ascii="Tahoma" w:hAnsi="Tahoma" w:cs="Tahoma"/>
                <w:sz w:val="20"/>
                <w:szCs w:val="20"/>
              </w:rPr>
              <w:t>Jenny</w:t>
            </w:r>
            <w:r w:rsidRPr="004A6A32">
              <w:rPr>
                <w:rFonts w:ascii="Tahoma" w:hAnsi="Tahoma" w:cs="Tahoma"/>
                <w:sz w:val="20"/>
                <w:szCs w:val="20"/>
              </w:rPr>
              <w:t xml:space="preserve"> reported on the recommendations</w:t>
            </w:r>
            <w:r w:rsidR="001158E2">
              <w:rPr>
                <w:rFonts w:ascii="Tahoma" w:hAnsi="Tahoma" w:cs="Tahoma"/>
                <w:sz w:val="20"/>
                <w:szCs w:val="20"/>
              </w:rPr>
              <w:t xml:space="preserve"> in the </w:t>
            </w:r>
            <w:r w:rsidR="004A669D">
              <w:rPr>
                <w:rFonts w:ascii="Tahoma" w:hAnsi="Tahoma" w:cs="Tahoma"/>
                <w:sz w:val="20"/>
                <w:szCs w:val="20"/>
              </w:rPr>
              <w:t>report</w:t>
            </w:r>
            <w:r w:rsidR="004A669D" w:rsidRPr="004A6A32">
              <w:rPr>
                <w:rFonts w:ascii="Tahoma" w:hAnsi="Tahoma" w:cs="Tahoma"/>
                <w:sz w:val="20"/>
                <w:szCs w:val="20"/>
              </w:rPr>
              <w:t>.</w:t>
            </w:r>
            <w:r w:rsidR="001158E2">
              <w:rPr>
                <w:rFonts w:ascii="Tahoma" w:hAnsi="Tahoma" w:cs="Tahoma"/>
                <w:sz w:val="20"/>
                <w:szCs w:val="20"/>
              </w:rPr>
              <w:t xml:space="preserve"> </w:t>
            </w:r>
            <w:r w:rsidR="001158E2" w:rsidRPr="004A6A32">
              <w:rPr>
                <w:rFonts w:ascii="Tahoma" w:hAnsi="Tahoma" w:cs="Tahoma"/>
                <w:sz w:val="20"/>
                <w:szCs w:val="20"/>
              </w:rPr>
              <w:t xml:space="preserve"> W</w:t>
            </w:r>
            <w:r w:rsidR="004A669D">
              <w:rPr>
                <w:rFonts w:ascii="Tahoma" w:hAnsi="Tahoma" w:cs="Tahoma"/>
                <w:sz w:val="20"/>
                <w:szCs w:val="20"/>
              </w:rPr>
              <w:t>ACF</w:t>
            </w:r>
            <w:r w:rsidR="001158E2" w:rsidRPr="004A6A32">
              <w:rPr>
                <w:rFonts w:ascii="Tahoma" w:hAnsi="Tahoma" w:cs="Tahoma"/>
                <w:sz w:val="20"/>
                <w:szCs w:val="20"/>
              </w:rPr>
              <w:t xml:space="preserve"> gave</w:t>
            </w:r>
            <w:r w:rsidRPr="004A6A32">
              <w:rPr>
                <w:rFonts w:ascii="Tahoma" w:hAnsi="Tahoma" w:cs="Tahoma"/>
                <w:sz w:val="20"/>
                <w:szCs w:val="20"/>
              </w:rPr>
              <w:t xml:space="preserve"> a heads</w:t>
            </w:r>
            <w:r w:rsidR="00316219">
              <w:rPr>
                <w:rFonts w:ascii="Tahoma" w:hAnsi="Tahoma" w:cs="Tahoma"/>
                <w:sz w:val="20"/>
                <w:szCs w:val="20"/>
              </w:rPr>
              <w:t>-</w:t>
            </w:r>
            <w:r w:rsidRPr="004A6A32">
              <w:rPr>
                <w:rFonts w:ascii="Tahoma" w:hAnsi="Tahoma" w:cs="Tahoma"/>
                <w:sz w:val="20"/>
                <w:szCs w:val="20"/>
              </w:rPr>
              <w:t xml:space="preserve">up that </w:t>
            </w:r>
            <w:r w:rsidR="004A669D">
              <w:rPr>
                <w:rFonts w:ascii="Tahoma" w:hAnsi="Tahoma" w:cs="Tahoma"/>
                <w:sz w:val="20"/>
                <w:szCs w:val="20"/>
              </w:rPr>
              <w:t>CA</w:t>
            </w:r>
            <w:r w:rsidRPr="004A6A32">
              <w:rPr>
                <w:rFonts w:ascii="Tahoma" w:hAnsi="Tahoma" w:cs="Tahoma"/>
                <w:sz w:val="20"/>
                <w:szCs w:val="20"/>
              </w:rPr>
              <w:t xml:space="preserve"> should expect some criticism </w:t>
            </w:r>
            <w:r w:rsidR="00F8138E">
              <w:rPr>
                <w:rFonts w:ascii="Tahoma" w:hAnsi="Tahoma" w:cs="Tahoma"/>
                <w:sz w:val="20"/>
                <w:szCs w:val="20"/>
              </w:rPr>
              <w:t>at</w:t>
            </w:r>
            <w:r w:rsidRPr="004A6A32">
              <w:rPr>
                <w:rFonts w:ascii="Tahoma" w:hAnsi="Tahoma" w:cs="Tahoma"/>
                <w:sz w:val="20"/>
                <w:szCs w:val="20"/>
              </w:rPr>
              <w:t xml:space="preserve"> </w:t>
            </w:r>
            <w:r w:rsidR="004A669D" w:rsidRPr="004A6A32">
              <w:rPr>
                <w:rFonts w:ascii="Tahoma" w:hAnsi="Tahoma" w:cs="Tahoma"/>
                <w:sz w:val="20"/>
                <w:szCs w:val="20"/>
              </w:rPr>
              <w:t xml:space="preserve">the </w:t>
            </w:r>
            <w:r w:rsidR="004A669D">
              <w:rPr>
                <w:rFonts w:ascii="Tahoma" w:hAnsi="Tahoma" w:cs="Tahoma"/>
                <w:sz w:val="20"/>
                <w:szCs w:val="20"/>
              </w:rPr>
              <w:t xml:space="preserve">upcoming </w:t>
            </w:r>
            <w:r w:rsidR="004A669D" w:rsidRPr="004A6A32">
              <w:rPr>
                <w:rFonts w:ascii="Tahoma" w:hAnsi="Tahoma" w:cs="Tahoma"/>
                <w:sz w:val="20"/>
                <w:szCs w:val="20"/>
              </w:rPr>
              <w:t>hearing,</w:t>
            </w:r>
            <w:r w:rsidR="004A669D">
              <w:rPr>
                <w:rFonts w:ascii="Tahoma" w:hAnsi="Tahoma" w:cs="Tahoma"/>
                <w:sz w:val="20"/>
                <w:szCs w:val="20"/>
              </w:rPr>
              <w:t xml:space="preserve"> as</w:t>
            </w:r>
            <w:r w:rsidRPr="004A6A32">
              <w:rPr>
                <w:rFonts w:ascii="Tahoma" w:hAnsi="Tahoma" w:cs="Tahoma"/>
                <w:sz w:val="20"/>
                <w:szCs w:val="20"/>
              </w:rPr>
              <w:t xml:space="preserve"> we </w:t>
            </w:r>
            <w:r w:rsidR="004A669D">
              <w:rPr>
                <w:rFonts w:ascii="Tahoma" w:hAnsi="Tahoma" w:cs="Tahoma"/>
                <w:sz w:val="20"/>
                <w:szCs w:val="20"/>
              </w:rPr>
              <w:t>have heard of</w:t>
            </w:r>
            <w:r w:rsidRPr="004A6A32">
              <w:rPr>
                <w:rFonts w:ascii="Tahoma" w:hAnsi="Tahoma" w:cs="Tahoma"/>
                <w:sz w:val="20"/>
                <w:szCs w:val="20"/>
              </w:rPr>
              <w:t xml:space="preserve"> some dissatisfaction among providers</w:t>
            </w:r>
            <w:r w:rsidR="004A669D">
              <w:rPr>
                <w:rFonts w:ascii="Tahoma" w:hAnsi="Tahoma" w:cs="Tahoma"/>
                <w:sz w:val="20"/>
                <w:szCs w:val="20"/>
              </w:rPr>
              <w:t>.</w:t>
            </w:r>
            <w:r w:rsidRPr="004A6A32">
              <w:rPr>
                <w:rFonts w:ascii="Tahoma" w:hAnsi="Tahoma" w:cs="Tahoma"/>
                <w:sz w:val="20"/>
                <w:szCs w:val="20"/>
              </w:rPr>
              <w:t xml:space="preserve">  We indicated that WACF has not taken a position on the report </w:t>
            </w:r>
            <w:r w:rsidR="00F8138E">
              <w:rPr>
                <w:rFonts w:ascii="Tahoma" w:hAnsi="Tahoma" w:cs="Tahoma"/>
                <w:sz w:val="20"/>
                <w:szCs w:val="20"/>
              </w:rPr>
              <w:t>since</w:t>
            </w:r>
            <w:r w:rsidRPr="004A6A32">
              <w:rPr>
                <w:rFonts w:ascii="Tahoma" w:hAnsi="Tahoma" w:cs="Tahoma"/>
                <w:sz w:val="20"/>
                <w:szCs w:val="20"/>
              </w:rPr>
              <w:t xml:space="preserve"> the </w:t>
            </w:r>
            <w:r w:rsidR="004A669D">
              <w:rPr>
                <w:rFonts w:ascii="Tahoma" w:hAnsi="Tahoma" w:cs="Tahoma"/>
                <w:sz w:val="20"/>
                <w:szCs w:val="20"/>
              </w:rPr>
              <w:t>three</w:t>
            </w:r>
            <w:r w:rsidRPr="004A6A32">
              <w:rPr>
                <w:rFonts w:ascii="Tahoma" w:hAnsi="Tahoma" w:cs="Tahoma"/>
                <w:sz w:val="20"/>
                <w:szCs w:val="20"/>
              </w:rPr>
              <w:t xml:space="preserve"> </w:t>
            </w:r>
            <w:r w:rsidR="004A669D">
              <w:rPr>
                <w:rFonts w:ascii="Tahoma" w:hAnsi="Tahoma" w:cs="Tahoma"/>
                <w:sz w:val="20"/>
                <w:szCs w:val="20"/>
              </w:rPr>
              <w:t>d</w:t>
            </w:r>
            <w:r w:rsidRPr="004A6A32">
              <w:rPr>
                <w:rFonts w:ascii="Tahoma" w:hAnsi="Tahoma" w:cs="Tahoma"/>
                <w:sz w:val="20"/>
                <w:szCs w:val="20"/>
              </w:rPr>
              <w:t>ivisions have not yet had an opportunity to review and discuss it.</w:t>
            </w:r>
            <w:r>
              <w:rPr>
                <w:rFonts w:ascii="Tahoma" w:hAnsi="Tahoma" w:cs="Tahoma"/>
                <w:sz w:val="20"/>
                <w:szCs w:val="20"/>
              </w:rPr>
              <w:t xml:space="preserve"> I</w:t>
            </w:r>
            <w:r w:rsidRPr="004A6A32">
              <w:rPr>
                <w:rFonts w:ascii="Tahoma" w:hAnsi="Tahoma" w:cs="Tahoma"/>
                <w:sz w:val="20"/>
                <w:szCs w:val="20"/>
              </w:rPr>
              <w:t xml:space="preserve">t will be another month before that happens and before it can be discussed </w:t>
            </w:r>
            <w:r w:rsidR="00F8138E">
              <w:rPr>
                <w:rFonts w:ascii="Tahoma" w:hAnsi="Tahoma" w:cs="Tahoma"/>
                <w:sz w:val="20"/>
                <w:szCs w:val="20"/>
              </w:rPr>
              <w:t>at</w:t>
            </w:r>
            <w:r w:rsidRPr="004A6A32">
              <w:rPr>
                <w:rFonts w:ascii="Tahoma" w:hAnsi="Tahoma" w:cs="Tahoma"/>
                <w:sz w:val="20"/>
                <w:szCs w:val="20"/>
              </w:rPr>
              <w:t xml:space="preserve"> a </w:t>
            </w:r>
            <w:r w:rsidR="004A669D">
              <w:rPr>
                <w:rFonts w:ascii="Tahoma" w:hAnsi="Tahoma" w:cs="Tahoma"/>
                <w:sz w:val="20"/>
                <w:szCs w:val="20"/>
              </w:rPr>
              <w:t>m</w:t>
            </w:r>
            <w:r w:rsidRPr="004A6A32">
              <w:rPr>
                <w:rFonts w:ascii="Tahoma" w:hAnsi="Tahoma" w:cs="Tahoma"/>
                <w:sz w:val="20"/>
                <w:szCs w:val="20"/>
              </w:rPr>
              <w:t xml:space="preserve">embership </w:t>
            </w:r>
            <w:r w:rsidR="004A669D">
              <w:rPr>
                <w:rFonts w:ascii="Tahoma" w:hAnsi="Tahoma" w:cs="Tahoma"/>
                <w:sz w:val="20"/>
                <w:szCs w:val="20"/>
              </w:rPr>
              <w:t>m</w:t>
            </w:r>
            <w:r w:rsidRPr="004A6A32">
              <w:rPr>
                <w:rFonts w:ascii="Tahoma" w:hAnsi="Tahoma" w:cs="Tahoma"/>
                <w:sz w:val="20"/>
                <w:szCs w:val="20"/>
              </w:rPr>
              <w:t xml:space="preserve">eeting.  Jennifer indicated she will </w:t>
            </w:r>
            <w:r>
              <w:rPr>
                <w:rFonts w:ascii="Tahoma" w:hAnsi="Tahoma" w:cs="Tahoma"/>
                <w:sz w:val="20"/>
                <w:szCs w:val="20"/>
              </w:rPr>
              <w:t>welcome the feedback from WACF.</w:t>
            </w:r>
          </w:p>
          <w:p w:rsidR="001671AB" w:rsidRDefault="001671AB" w:rsidP="004A6A32">
            <w:pPr>
              <w:rPr>
                <w:rFonts w:ascii="Tahoma" w:hAnsi="Tahoma" w:cs="Tahoma"/>
                <w:sz w:val="20"/>
                <w:szCs w:val="20"/>
              </w:rPr>
            </w:pPr>
          </w:p>
          <w:p w:rsidR="007343ED" w:rsidRPr="004A6A32" w:rsidRDefault="001671AB" w:rsidP="004A669D">
            <w:pPr>
              <w:rPr>
                <w:rFonts w:ascii="Tahoma" w:hAnsi="Tahoma" w:cs="Tahoma"/>
                <w:sz w:val="20"/>
                <w:szCs w:val="20"/>
              </w:rPr>
            </w:pPr>
            <w:r>
              <w:rPr>
                <w:rFonts w:ascii="Tahoma" w:hAnsi="Tahoma" w:cs="Tahoma"/>
                <w:sz w:val="20"/>
                <w:szCs w:val="20"/>
              </w:rPr>
              <w:t xml:space="preserve">Jennifer </w:t>
            </w:r>
            <w:r w:rsidR="00100959">
              <w:rPr>
                <w:rFonts w:ascii="Tahoma" w:hAnsi="Tahoma" w:cs="Tahoma"/>
                <w:sz w:val="20"/>
                <w:szCs w:val="20"/>
              </w:rPr>
              <w:t xml:space="preserve">stated that she understands </w:t>
            </w:r>
            <w:r w:rsidR="004A669D">
              <w:rPr>
                <w:rFonts w:ascii="Tahoma" w:hAnsi="Tahoma" w:cs="Tahoma"/>
                <w:sz w:val="20"/>
                <w:szCs w:val="20"/>
              </w:rPr>
              <w:t>that</w:t>
            </w:r>
            <w:r w:rsidR="00100959">
              <w:rPr>
                <w:rFonts w:ascii="Tahoma" w:hAnsi="Tahoma" w:cs="Tahoma"/>
                <w:sz w:val="20"/>
                <w:szCs w:val="20"/>
              </w:rPr>
              <w:t xml:space="preserve"> the report </w:t>
            </w:r>
            <w:r w:rsidR="004A669D">
              <w:rPr>
                <w:rFonts w:ascii="Tahoma" w:hAnsi="Tahoma" w:cs="Tahoma"/>
                <w:sz w:val="20"/>
                <w:szCs w:val="20"/>
              </w:rPr>
              <w:t>does not</w:t>
            </w:r>
            <w:r w:rsidR="00100959">
              <w:rPr>
                <w:rFonts w:ascii="Tahoma" w:hAnsi="Tahoma" w:cs="Tahoma"/>
                <w:sz w:val="20"/>
                <w:szCs w:val="20"/>
              </w:rPr>
              <w:t xml:space="preserve"> </w:t>
            </w:r>
            <w:r w:rsidR="004A669D">
              <w:rPr>
                <w:rFonts w:ascii="Tahoma" w:hAnsi="Tahoma" w:cs="Tahoma"/>
                <w:sz w:val="20"/>
                <w:szCs w:val="20"/>
              </w:rPr>
              <w:t>adequately</w:t>
            </w:r>
            <w:r w:rsidR="00100959">
              <w:rPr>
                <w:rFonts w:ascii="Tahoma" w:hAnsi="Tahoma" w:cs="Tahoma"/>
                <w:sz w:val="20"/>
                <w:szCs w:val="20"/>
              </w:rPr>
              <w:t xml:space="preserve"> address </w:t>
            </w:r>
            <w:r w:rsidR="00316219">
              <w:rPr>
                <w:rFonts w:ascii="Tahoma" w:hAnsi="Tahoma" w:cs="Tahoma"/>
                <w:sz w:val="20"/>
                <w:szCs w:val="20"/>
              </w:rPr>
              <w:t xml:space="preserve">next steps. </w:t>
            </w:r>
            <w:r w:rsidR="00100959">
              <w:rPr>
                <w:rFonts w:ascii="Tahoma" w:hAnsi="Tahoma" w:cs="Tahoma"/>
                <w:sz w:val="20"/>
                <w:szCs w:val="20"/>
              </w:rPr>
              <w:t xml:space="preserve">There are dollars attached but no money in the Governor’s budget. </w:t>
            </w:r>
            <w:r w:rsidR="00316219">
              <w:rPr>
                <w:rFonts w:ascii="Tahoma" w:hAnsi="Tahoma" w:cs="Tahoma"/>
                <w:sz w:val="20"/>
                <w:szCs w:val="20"/>
              </w:rPr>
              <w:t xml:space="preserve">The things that cost money will be part of a supplemental budget ask. </w:t>
            </w:r>
          </w:p>
        </w:tc>
        <w:tc>
          <w:tcPr>
            <w:tcW w:w="3690" w:type="dxa"/>
          </w:tcPr>
          <w:p w:rsidR="007343ED" w:rsidRDefault="007343ED" w:rsidP="005D1FF4">
            <w:pPr>
              <w:rPr>
                <w:rFonts w:ascii="Tahoma" w:hAnsi="Tahoma" w:cs="Tahoma"/>
                <w:sz w:val="20"/>
              </w:rPr>
            </w:pPr>
          </w:p>
        </w:tc>
      </w:tr>
      <w:tr w:rsidR="007343ED" w:rsidRPr="00123657" w:rsidTr="005E1D21">
        <w:tblPrEx>
          <w:tblCellMar>
            <w:left w:w="115" w:type="dxa"/>
            <w:right w:w="115" w:type="dxa"/>
          </w:tblCellMar>
        </w:tblPrEx>
        <w:trPr>
          <w:trHeight w:val="720"/>
        </w:trPr>
        <w:tc>
          <w:tcPr>
            <w:tcW w:w="3907" w:type="dxa"/>
          </w:tcPr>
          <w:p w:rsidR="005E1D21" w:rsidRPr="005E1D21" w:rsidRDefault="00DF2D45" w:rsidP="004A6A32">
            <w:pPr>
              <w:spacing w:before="60"/>
              <w:ind w:hanging="15"/>
              <w:rPr>
                <w:rFonts w:ascii="Tahoma" w:hAnsi="Tahoma" w:cs="Tahoma"/>
                <w:b/>
                <w:bCs/>
                <w:sz w:val="20"/>
                <w:szCs w:val="20"/>
              </w:rPr>
            </w:pPr>
            <w:r>
              <w:rPr>
                <w:rFonts w:ascii="Tahoma" w:hAnsi="Tahoma" w:cs="Tahoma"/>
                <w:b/>
                <w:bCs/>
                <w:sz w:val="20"/>
                <w:szCs w:val="20"/>
              </w:rPr>
              <w:t>5.</w:t>
            </w:r>
            <w:r w:rsidR="006406CE">
              <w:rPr>
                <w:rFonts w:ascii="Tahoma" w:hAnsi="Tahoma" w:cs="Tahoma"/>
                <w:b/>
                <w:bCs/>
                <w:sz w:val="20"/>
                <w:szCs w:val="20"/>
              </w:rPr>
              <w:t xml:space="preserve">   SB 5105 (Licensing Bill)</w:t>
            </w:r>
          </w:p>
        </w:tc>
        <w:tc>
          <w:tcPr>
            <w:tcW w:w="6840" w:type="dxa"/>
          </w:tcPr>
          <w:p w:rsidR="005542F0" w:rsidRDefault="00100959" w:rsidP="00894560">
            <w:pPr>
              <w:rPr>
                <w:rFonts w:ascii="Tahoma" w:hAnsi="Tahoma" w:cs="Tahoma"/>
                <w:sz w:val="20"/>
                <w:szCs w:val="20"/>
              </w:rPr>
            </w:pPr>
            <w:r>
              <w:rPr>
                <w:rFonts w:ascii="Tahoma" w:hAnsi="Tahoma" w:cs="Tahoma"/>
                <w:sz w:val="20"/>
                <w:szCs w:val="20"/>
              </w:rPr>
              <w:t>Jeff reported that Sen. O’Ban chose not to move forward with the bill.</w:t>
            </w:r>
          </w:p>
        </w:tc>
        <w:tc>
          <w:tcPr>
            <w:tcW w:w="3690" w:type="dxa"/>
          </w:tcPr>
          <w:p w:rsidR="007343ED" w:rsidRDefault="007343ED" w:rsidP="005D1FF4">
            <w:pPr>
              <w:rPr>
                <w:rFonts w:ascii="Tahoma" w:hAnsi="Tahoma" w:cs="Tahoma"/>
                <w:sz w:val="20"/>
              </w:rPr>
            </w:pPr>
          </w:p>
        </w:tc>
      </w:tr>
      <w:tr w:rsidR="00027CAB" w:rsidRPr="00123657" w:rsidTr="005E1D21">
        <w:tblPrEx>
          <w:tblCellMar>
            <w:left w:w="115" w:type="dxa"/>
            <w:right w:w="115" w:type="dxa"/>
          </w:tblCellMar>
        </w:tblPrEx>
        <w:trPr>
          <w:trHeight w:val="720"/>
        </w:trPr>
        <w:tc>
          <w:tcPr>
            <w:tcW w:w="3907" w:type="dxa"/>
          </w:tcPr>
          <w:p w:rsidR="00027CAB" w:rsidRPr="005E1D21" w:rsidRDefault="00DF2D45" w:rsidP="004A6A32">
            <w:pPr>
              <w:spacing w:before="60"/>
              <w:ind w:left="345" w:hanging="345"/>
              <w:rPr>
                <w:rFonts w:ascii="Tahoma" w:hAnsi="Tahoma" w:cs="Tahoma"/>
                <w:b/>
                <w:bCs/>
                <w:sz w:val="20"/>
                <w:szCs w:val="20"/>
              </w:rPr>
            </w:pPr>
            <w:r>
              <w:rPr>
                <w:rFonts w:ascii="Tahoma" w:hAnsi="Tahoma" w:cs="Tahoma"/>
                <w:b/>
                <w:bCs/>
                <w:sz w:val="20"/>
                <w:szCs w:val="20"/>
              </w:rPr>
              <w:t>6.</w:t>
            </w:r>
            <w:r w:rsidR="006406CE">
              <w:rPr>
                <w:rFonts w:ascii="Tahoma" w:hAnsi="Tahoma" w:cs="Tahoma"/>
                <w:b/>
                <w:bCs/>
                <w:sz w:val="20"/>
                <w:szCs w:val="20"/>
              </w:rPr>
              <w:t xml:space="preserve">   Rep. Kagi’s Reinventing Foster          Care</w:t>
            </w:r>
          </w:p>
        </w:tc>
        <w:tc>
          <w:tcPr>
            <w:tcW w:w="6840" w:type="dxa"/>
          </w:tcPr>
          <w:p w:rsidR="00276293" w:rsidRPr="004A6A32" w:rsidRDefault="004A669D" w:rsidP="004A6A32">
            <w:pPr>
              <w:rPr>
                <w:rFonts w:ascii="Tahoma" w:hAnsi="Tahoma" w:cs="Tahoma"/>
                <w:sz w:val="20"/>
                <w:szCs w:val="20"/>
              </w:rPr>
            </w:pPr>
            <w:r>
              <w:rPr>
                <w:rFonts w:ascii="Tahoma" w:hAnsi="Tahoma" w:cs="Tahoma"/>
                <w:sz w:val="20"/>
                <w:szCs w:val="20"/>
              </w:rPr>
              <w:t>We discussed</w:t>
            </w:r>
            <w:r w:rsidR="00276293">
              <w:rPr>
                <w:rFonts w:ascii="Tahoma" w:hAnsi="Tahoma" w:cs="Tahoma"/>
                <w:sz w:val="20"/>
                <w:szCs w:val="20"/>
              </w:rPr>
              <w:t xml:space="preserve"> </w:t>
            </w:r>
            <w:r>
              <w:rPr>
                <w:rFonts w:ascii="Tahoma" w:hAnsi="Tahoma" w:cs="Tahoma"/>
                <w:sz w:val="20"/>
                <w:szCs w:val="20"/>
              </w:rPr>
              <w:t xml:space="preserve">some of </w:t>
            </w:r>
            <w:r w:rsidR="00276293">
              <w:rPr>
                <w:rFonts w:ascii="Tahoma" w:hAnsi="Tahoma" w:cs="Tahoma"/>
                <w:sz w:val="20"/>
                <w:szCs w:val="20"/>
              </w:rPr>
              <w:t>the most recent list of items on the Reinventing Foster Care package:</w:t>
            </w:r>
          </w:p>
          <w:p w:rsidR="000B6400" w:rsidRDefault="000B6400" w:rsidP="000B6400">
            <w:pPr>
              <w:pStyle w:val="ListParagraph"/>
              <w:numPr>
                <w:ilvl w:val="0"/>
                <w:numId w:val="43"/>
              </w:numPr>
              <w:rPr>
                <w:rFonts w:ascii="Tahoma" w:hAnsi="Tahoma" w:cs="Tahoma"/>
                <w:sz w:val="20"/>
                <w:szCs w:val="20"/>
              </w:rPr>
            </w:pPr>
            <w:r>
              <w:rPr>
                <w:rFonts w:ascii="Tahoma" w:hAnsi="Tahoma" w:cs="Tahoma"/>
                <w:sz w:val="20"/>
                <w:szCs w:val="20"/>
              </w:rPr>
              <w:t>Expand Performance Based Contracting (Network Administration) - $2.5 million (on top of the dollars in the Governor’s budget for maintaining FIN)</w:t>
            </w:r>
          </w:p>
          <w:p w:rsidR="000B6400" w:rsidRDefault="000B6400" w:rsidP="000B6400">
            <w:pPr>
              <w:pStyle w:val="ListParagraph"/>
              <w:numPr>
                <w:ilvl w:val="0"/>
                <w:numId w:val="43"/>
              </w:numPr>
              <w:rPr>
                <w:rFonts w:ascii="Tahoma" w:hAnsi="Tahoma" w:cs="Tahoma"/>
                <w:sz w:val="20"/>
                <w:szCs w:val="20"/>
              </w:rPr>
            </w:pPr>
            <w:r w:rsidRPr="000A354E">
              <w:rPr>
                <w:rFonts w:ascii="Tahoma" w:hAnsi="Tahoma" w:cs="Tahoma"/>
                <w:sz w:val="20"/>
                <w:szCs w:val="20"/>
              </w:rPr>
              <w:t>Department of Children, Youth and Families</w:t>
            </w:r>
            <w:r>
              <w:rPr>
                <w:rFonts w:ascii="Tahoma" w:hAnsi="Tahoma" w:cs="Tahoma"/>
                <w:sz w:val="20"/>
                <w:szCs w:val="20"/>
              </w:rPr>
              <w:t xml:space="preserve"> - $19 million</w:t>
            </w:r>
          </w:p>
          <w:p w:rsidR="000B6400" w:rsidRDefault="000B6400" w:rsidP="000B6400">
            <w:pPr>
              <w:pStyle w:val="ListParagraph"/>
              <w:numPr>
                <w:ilvl w:val="0"/>
                <w:numId w:val="43"/>
              </w:numPr>
              <w:rPr>
                <w:rFonts w:ascii="Tahoma" w:hAnsi="Tahoma" w:cs="Tahoma"/>
                <w:sz w:val="20"/>
                <w:szCs w:val="20"/>
              </w:rPr>
            </w:pPr>
            <w:r w:rsidRPr="00E13BED">
              <w:rPr>
                <w:rFonts w:ascii="Tahoma" w:hAnsi="Tahoma" w:cs="Tahoma"/>
                <w:sz w:val="20"/>
                <w:szCs w:val="20"/>
              </w:rPr>
              <w:t>CA - Reducing caseloads to 18 and adding back transportation staff and clerical staff – approx. $9 million</w:t>
            </w:r>
          </w:p>
          <w:p w:rsidR="000B6400" w:rsidRPr="00E13BED" w:rsidRDefault="000B6400" w:rsidP="000B6400">
            <w:pPr>
              <w:pStyle w:val="ListParagraph"/>
              <w:numPr>
                <w:ilvl w:val="0"/>
                <w:numId w:val="43"/>
              </w:numPr>
              <w:rPr>
                <w:rFonts w:ascii="Tahoma" w:hAnsi="Tahoma" w:cs="Tahoma"/>
                <w:sz w:val="20"/>
                <w:szCs w:val="20"/>
              </w:rPr>
            </w:pPr>
            <w:r w:rsidRPr="00E13BED">
              <w:rPr>
                <w:rFonts w:ascii="Tahoma" w:hAnsi="Tahoma" w:cs="Tahoma"/>
                <w:sz w:val="20"/>
                <w:szCs w:val="20"/>
              </w:rPr>
              <w:t>Full reimbursement for travel time - $4.</w:t>
            </w:r>
            <w:r w:rsidR="004A669D">
              <w:rPr>
                <w:rFonts w:ascii="Tahoma" w:hAnsi="Tahoma" w:cs="Tahoma"/>
                <w:sz w:val="20"/>
                <w:szCs w:val="20"/>
              </w:rPr>
              <w:t>8</w:t>
            </w:r>
            <w:r w:rsidRPr="00E13BED">
              <w:rPr>
                <w:rFonts w:ascii="Tahoma" w:hAnsi="Tahoma" w:cs="Tahoma"/>
                <w:sz w:val="20"/>
                <w:szCs w:val="20"/>
              </w:rPr>
              <w:t xml:space="preserve"> million</w:t>
            </w:r>
          </w:p>
          <w:p w:rsidR="000B6400" w:rsidRDefault="000B6400" w:rsidP="000B6400">
            <w:pPr>
              <w:pStyle w:val="ListParagraph"/>
              <w:numPr>
                <w:ilvl w:val="0"/>
                <w:numId w:val="43"/>
              </w:numPr>
              <w:rPr>
                <w:rFonts w:ascii="Tahoma" w:hAnsi="Tahoma" w:cs="Tahoma"/>
                <w:sz w:val="20"/>
                <w:szCs w:val="20"/>
              </w:rPr>
            </w:pPr>
            <w:r>
              <w:rPr>
                <w:rFonts w:ascii="Tahoma" w:hAnsi="Tahoma" w:cs="Tahoma"/>
                <w:sz w:val="20"/>
                <w:szCs w:val="20"/>
              </w:rPr>
              <w:t>Reimbursement for travel for parent/child visitation - $3 million</w:t>
            </w:r>
          </w:p>
          <w:p w:rsidR="00276293" w:rsidRPr="004A669D" w:rsidRDefault="000B6400" w:rsidP="004A669D">
            <w:pPr>
              <w:pStyle w:val="ListParagraph"/>
              <w:numPr>
                <w:ilvl w:val="0"/>
                <w:numId w:val="43"/>
              </w:numPr>
              <w:rPr>
                <w:rFonts w:ascii="Tahoma" w:hAnsi="Tahoma" w:cs="Tahoma"/>
                <w:sz w:val="20"/>
                <w:szCs w:val="20"/>
              </w:rPr>
            </w:pPr>
            <w:r>
              <w:rPr>
                <w:rFonts w:ascii="Tahoma" w:hAnsi="Tahoma" w:cs="Tahoma"/>
                <w:sz w:val="20"/>
                <w:szCs w:val="20"/>
              </w:rPr>
              <w:t>Wendy’s Wonderful Kids $.5 million</w:t>
            </w:r>
          </w:p>
          <w:p w:rsidR="00C04D6A" w:rsidRPr="00C04D6A" w:rsidRDefault="00C04D6A"/>
        </w:tc>
        <w:tc>
          <w:tcPr>
            <w:tcW w:w="3690" w:type="dxa"/>
          </w:tcPr>
          <w:p w:rsidR="00027CAB" w:rsidRDefault="00027CAB" w:rsidP="005D1FF4">
            <w:pPr>
              <w:rPr>
                <w:rFonts w:ascii="Tahoma" w:hAnsi="Tahoma" w:cs="Tahoma"/>
                <w:sz w:val="20"/>
              </w:rPr>
            </w:pPr>
          </w:p>
        </w:tc>
      </w:tr>
      <w:tr w:rsidR="00DF2D45" w:rsidRPr="00123657" w:rsidTr="005E1D21">
        <w:tblPrEx>
          <w:tblCellMar>
            <w:left w:w="115" w:type="dxa"/>
            <w:right w:w="115" w:type="dxa"/>
          </w:tblCellMar>
        </w:tblPrEx>
        <w:trPr>
          <w:trHeight w:val="720"/>
        </w:trPr>
        <w:tc>
          <w:tcPr>
            <w:tcW w:w="3907" w:type="dxa"/>
          </w:tcPr>
          <w:p w:rsidR="00DF2D45" w:rsidRDefault="00DF2D45" w:rsidP="004A6A32">
            <w:pPr>
              <w:spacing w:before="60"/>
              <w:ind w:left="345" w:hanging="345"/>
              <w:rPr>
                <w:rFonts w:ascii="Tahoma" w:hAnsi="Tahoma" w:cs="Tahoma"/>
                <w:b/>
                <w:bCs/>
                <w:sz w:val="20"/>
                <w:szCs w:val="20"/>
              </w:rPr>
            </w:pPr>
            <w:r>
              <w:rPr>
                <w:rFonts w:ascii="Tahoma" w:hAnsi="Tahoma" w:cs="Tahoma"/>
                <w:b/>
                <w:bCs/>
                <w:sz w:val="20"/>
                <w:szCs w:val="20"/>
              </w:rPr>
              <w:t>7.</w:t>
            </w:r>
            <w:r w:rsidR="006406CE">
              <w:rPr>
                <w:rFonts w:ascii="Tahoma" w:hAnsi="Tahoma" w:cs="Tahoma"/>
                <w:b/>
                <w:bCs/>
                <w:sz w:val="20"/>
                <w:szCs w:val="20"/>
              </w:rPr>
              <w:t xml:space="preserve">   Budget for In-Home Services not being cut back because of money underspent last year</w:t>
            </w:r>
          </w:p>
        </w:tc>
        <w:tc>
          <w:tcPr>
            <w:tcW w:w="6840" w:type="dxa"/>
          </w:tcPr>
          <w:p w:rsidR="00DF2D45" w:rsidDel="00DF2D45" w:rsidRDefault="001158E2" w:rsidP="001158E2">
            <w:pPr>
              <w:rPr>
                <w:rFonts w:ascii="Tahoma" w:hAnsi="Tahoma" w:cs="Tahoma"/>
                <w:sz w:val="20"/>
                <w:szCs w:val="20"/>
              </w:rPr>
            </w:pPr>
            <w:r>
              <w:rPr>
                <w:rFonts w:ascii="Tahoma" w:hAnsi="Tahoma" w:cs="Tahoma"/>
                <w:sz w:val="20"/>
                <w:szCs w:val="20"/>
              </w:rPr>
              <w:t>CA is</w:t>
            </w:r>
            <w:r w:rsidR="00100959">
              <w:rPr>
                <w:rFonts w:ascii="Tahoma" w:hAnsi="Tahoma" w:cs="Tahoma"/>
                <w:sz w:val="20"/>
                <w:szCs w:val="20"/>
              </w:rPr>
              <w:t xml:space="preserve"> earning more federal money currently and </w:t>
            </w:r>
            <w:r>
              <w:rPr>
                <w:rFonts w:ascii="Tahoma" w:hAnsi="Tahoma" w:cs="Tahoma"/>
                <w:sz w:val="20"/>
                <w:szCs w:val="20"/>
              </w:rPr>
              <w:t>has</w:t>
            </w:r>
            <w:r w:rsidR="00100959">
              <w:rPr>
                <w:rFonts w:ascii="Tahoma" w:hAnsi="Tahoma" w:cs="Tahoma"/>
                <w:sz w:val="20"/>
                <w:szCs w:val="20"/>
              </w:rPr>
              <w:t xml:space="preserve"> </w:t>
            </w:r>
            <w:r>
              <w:rPr>
                <w:rFonts w:ascii="Tahoma" w:hAnsi="Tahoma" w:cs="Tahoma"/>
                <w:sz w:val="20"/>
                <w:szCs w:val="20"/>
              </w:rPr>
              <w:t xml:space="preserve">offered the legislature </w:t>
            </w:r>
            <w:r w:rsidR="00100959">
              <w:rPr>
                <w:rFonts w:ascii="Tahoma" w:hAnsi="Tahoma" w:cs="Tahoma"/>
                <w:sz w:val="20"/>
                <w:szCs w:val="20"/>
              </w:rPr>
              <w:t xml:space="preserve">a one-time </w:t>
            </w:r>
            <w:r>
              <w:rPr>
                <w:rFonts w:ascii="Tahoma" w:hAnsi="Tahoma" w:cs="Tahoma"/>
                <w:sz w:val="20"/>
                <w:szCs w:val="20"/>
              </w:rPr>
              <w:t>s</w:t>
            </w:r>
            <w:r w:rsidR="00100959">
              <w:rPr>
                <w:rFonts w:ascii="Tahoma" w:hAnsi="Tahoma" w:cs="Tahoma"/>
                <w:sz w:val="20"/>
                <w:szCs w:val="20"/>
              </w:rPr>
              <w:t>wap of funds, state for federal.</w:t>
            </w:r>
            <w:r w:rsidRPr="00C0099F">
              <w:rPr>
                <w:rFonts w:ascii="Tahoma" w:hAnsi="Tahoma" w:cs="Tahoma"/>
                <w:iCs/>
                <w:sz w:val="20"/>
              </w:rPr>
              <w:t xml:space="preserve">  CA is trying to move some money to bolster staffing levels, increase transportation options for parents, create more of an array of services in visitations, </w:t>
            </w:r>
            <w:r>
              <w:rPr>
                <w:rFonts w:ascii="Tahoma" w:hAnsi="Tahoma" w:cs="Tahoma"/>
                <w:iCs/>
                <w:sz w:val="20"/>
              </w:rPr>
              <w:t xml:space="preserve">beef up </w:t>
            </w:r>
            <w:r w:rsidRPr="00C0099F">
              <w:rPr>
                <w:rFonts w:ascii="Tahoma" w:hAnsi="Tahoma" w:cs="Tahoma"/>
                <w:iCs/>
                <w:sz w:val="20"/>
              </w:rPr>
              <w:t xml:space="preserve">FPS and allow CA social workers to buy supplies </w:t>
            </w:r>
            <w:r>
              <w:rPr>
                <w:rFonts w:ascii="Tahoma" w:hAnsi="Tahoma" w:cs="Tahoma"/>
                <w:iCs/>
                <w:sz w:val="20"/>
              </w:rPr>
              <w:t>(</w:t>
            </w:r>
            <w:r w:rsidRPr="00C0099F">
              <w:rPr>
                <w:rFonts w:ascii="Tahoma" w:hAnsi="Tahoma" w:cs="Tahoma"/>
                <w:iCs/>
                <w:sz w:val="20"/>
              </w:rPr>
              <w:t>car seats, diapers, groceries, etc.</w:t>
            </w:r>
            <w:r>
              <w:rPr>
                <w:rFonts w:ascii="Tahoma" w:hAnsi="Tahoma" w:cs="Tahoma"/>
                <w:iCs/>
                <w:sz w:val="20"/>
              </w:rPr>
              <w:t>) to help with placements. They are trying to eliminate some of the poverty related barriers to help placements with kin.</w:t>
            </w:r>
          </w:p>
        </w:tc>
        <w:tc>
          <w:tcPr>
            <w:tcW w:w="3690" w:type="dxa"/>
          </w:tcPr>
          <w:p w:rsidR="00DF2D45" w:rsidRDefault="00DF2D45" w:rsidP="005D1FF4">
            <w:pPr>
              <w:rPr>
                <w:rFonts w:ascii="Tahoma" w:hAnsi="Tahoma" w:cs="Tahoma"/>
                <w:sz w:val="20"/>
              </w:rPr>
            </w:pPr>
          </w:p>
        </w:tc>
      </w:tr>
      <w:tr w:rsidR="00DF2D45" w:rsidRPr="00123657" w:rsidTr="005E1D21">
        <w:tblPrEx>
          <w:tblCellMar>
            <w:left w:w="115" w:type="dxa"/>
            <w:right w:w="115" w:type="dxa"/>
          </w:tblCellMar>
        </w:tblPrEx>
        <w:trPr>
          <w:trHeight w:val="720"/>
        </w:trPr>
        <w:tc>
          <w:tcPr>
            <w:tcW w:w="3907" w:type="dxa"/>
          </w:tcPr>
          <w:p w:rsidR="00DF2D45" w:rsidRDefault="00DF2D45" w:rsidP="004A6A32">
            <w:pPr>
              <w:spacing w:before="60"/>
              <w:ind w:left="345" w:hanging="345"/>
              <w:rPr>
                <w:rFonts w:ascii="Tahoma" w:hAnsi="Tahoma" w:cs="Tahoma"/>
                <w:b/>
                <w:bCs/>
                <w:sz w:val="20"/>
                <w:szCs w:val="20"/>
              </w:rPr>
            </w:pPr>
            <w:r>
              <w:rPr>
                <w:rFonts w:ascii="Tahoma" w:hAnsi="Tahoma" w:cs="Tahoma"/>
                <w:b/>
                <w:bCs/>
                <w:sz w:val="20"/>
                <w:szCs w:val="20"/>
              </w:rPr>
              <w:lastRenderedPageBreak/>
              <w:t>8.</w:t>
            </w:r>
            <w:r w:rsidR="006406CE">
              <w:rPr>
                <w:rFonts w:ascii="Tahoma" w:hAnsi="Tahoma" w:cs="Tahoma"/>
                <w:b/>
                <w:bCs/>
                <w:sz w:val="20"/>
                <w:szCs w:val="20"/>
              </w:rPr>
              <w:t xml:space="preserve">   Coordinated Care – CPA Case Workers having access to their medical information</w:t>
            </w:r>
          </w:p>
        </w:tc>
        <w:tc>
          <w:tcPr>
            <w:tcW w:w="6840" w:type="dxa"/>
          </w:tcPr>
          <w:p w:rsidR="00DF2D45" w:rsidDel="00DF2D45" w:rsidRDefault="00100959" w:rsidP="006208A3">
            <w:pPr>
              <w:rPr>
                <w:rFonts w:ascii="Tahoma" w:hAnsi="Tahoma" w:cs="Tahoma"/>
                <w:sz w:val="20"/>
                <w:szCs w:val="20"/>
              </w:rPr>
            </w:pPr>
            <w:r>
              <w:rPr>
                <w:rFonts w:ascii="Tahoma" w:hAnsi="Tahoma" w:cs="Tahoma"/>
                <w:sz w:val="20"/>
                <w:szCs w:val="20"/>
              </w:rPr>
              <w:t xml:space="preserve">Jeff explained </w:t>
            </w:r>
            <w:r w:rsidR="00AD214D">
              <w:rPr>
                <w:rFonts w:ascii="Tahoma" w:hAnsi="Tahoma" w:cs="Tahoma"/>
                <w:sz w:val="20"/>
                <w:szCs w:val="20"/>
              </w:rPr>
              <w:t xml:space="preserve">how some private agency case managers are having difficulty accessing medical information from Coordinated Care. </w:t>
            </w:r>
          </w:p>
        </w:tc>
        <w:tc>
          <w:tcPr>
            <w:tcW w:w="3690" w:type="dxa"/>
          </w:tcPr>
          <w:p w:rsidR="00DF2D45" w:rsidRDefault="00AD214D" w:rsidP="005D1FF4">
            <w:pPr>
              <w:rPr>
                <w:rFonts w:ascii="Tahoma" w:hAnsi="Tahoma" w:cs="Tahoma"/>
                <w:sz w:val="20"/>
              </w:rPr>
            </w:pPr>
            <w:r>
              <w:rPr>
                <w:rFonts w:ascii="Tahoma" w:hAnsi="Tahoma" w:cs="Tahoma"/>
                <w:sz w:val="20"/>
              </w:rPr>
              <w:t>Toni will bring the issue back to the program manager.</w:t>
            </w:r>
          </w:p>
        </w:tc>
      </w:tr>
      <w:tr w:rsidR="00DF2D45" w:rsidRPr="00123657" w:rsidTr="005E1D21">
        <w:tblPrEx>
          <w:tblCellMar>
            <w:left w:w="115" w:type="dxa"/>
            <w:right w:w="115" w:type="dxa"/>
          </w:tblCellMar>
        </w:tblPrEx>
        <w:trPr>
          <w:trHeight w:val="720"/>
        </w:trPr>
        <w:tc>
          <w:tcPr>
            <w:tcW w:w="3907" w:type="dxa"/>
          </w:tcPr>
          <w:p w:rsidR="00DF2D45" w:rsidRDefault="00DF2D45" w:rsidP="004A6A32">
            <w:pPr>
              <w:spacing w:before="60"/>
              <w:ind w:left="345" w:hanging="345"/>
              <w:rPr>
                <w:rFonts w:ascii="Tahoma" w:hAnsi="Tahoma" w:cs="Tahoma"/>
                <w:b/>
                <w:bCs/>
                <w:sz w:val="20"/>
                <w:szCs w:val="20"/>
              </w:rPr>
            </w:pPr>
            <w:r>
              <w:rPr>
                <w:rFonts w:ascii="Tahoma" w:hAnsi="Tahoma" w:cs="Tahoma"/>
                <w:b/>
                <w:bCs/>
                <w:sz w:val="20"/>
                <w:szCs w:val="20"/>
              </w:rPr>
              <w:t>9.</w:t>
            </w:r>
            <w:r w:rsidR="006406CE">
              <w:rPr>
                <w:rFonts w:ascii="Tahoma" w:hAnsi="Tahoma" w:cs="Tahoma"/>
                <w:b/>
                <w:bCs/>
                <w:sz w:val="20"/>
                <w:szCs w:val="20"/>
              </w:rPr>
              <w:t xml:space="preserve">   Update on Parent Child Visitation in Region 1</w:t>
            </w:r>
          </w:p>
        </w:tc>
        <w:tc>
          <w:tcPr>
            <w:tcW w:w="6840" w:type="dxa"/>
          </w:tcPr>
          <w:p w:rsidR="00DF2D45" w:rsidDel="00DF2D45" w:rsidRDefault="004D0C2E" w:rsidP="004A669D">
            <w:pPr>
              <w:rPr>
                <w:rFonts w:ascii="Tahoma" w:hAnsi="Tahoma" w:cs="Tahoma"/>
                <w:sz w:val="20"/>
                <w:szCs w:val="20"/>
              </w:rPr>
            </w:pPr>
            <w:r>
              <w:rPr>
                <w:rFonts w:ascii="Tahoma" w:hAnsi="Tahoma" w:cs="Tahoma"/>
                <w:sz w:val="20"/>
                <w:szCs w:val="20"/>
              </w:rPr>
              <w:t>The pilot will last 6 months.</w:t>
            </w:r>
            <w:r w:rsidR="00AD214D">
              <w:rPr>
                <w:rFonts w:ascii="Tahoma" w:hAnsi="Tahoma" w:cs="Tahoma"/>
                <w:sz w:val="20"/>
                <w:szCs w:val="20"/>
              </w:rPr>
              <w:t xml:space="preserve"> There </w:t>
            </w:r>
            <w:r w:rsidR="0097237A">
              <w:rPr>
                <w:rFonts w:ascii="Tahoma" w:hAnsi="Tahoma" w:cs="Tahoma"/>
                <w:sz w:val="20"/>
                <w:szCs w:val="20"/>
              </w:rPr>
              <w:t>is</w:t>
            </w:r>
            <w:r w:rsidR="00AD214D">
              <w:rPr>
                <w:rFonts w:ascii="Tahoma" w:hAnsi="Tahoma" w:cs="Tahoma"/>
                <w:sz w:val="20"/>
                <w:szCs w:val="20"/>
              </w:rPr>
              <w:t xml:space="preserve"> no data yet so </w:t>
            </w:r>
            <w:r w:rsidR="004A669D">
              <w:rPr>
                <w:rFonts w:ascii="Tahoma" w:hAnsi="Tahoma" w:cs="Tahoma"/>
                <w:sz w:val="20"/>
                <w:szCs w:val="20"/>
              </w:rPr>
              <w:t>it is</w:t>
            </w:r>
            <w:r w:rsidR="00AD214D">
              <w:rPr>
                <w:rFonts w:ascii="Tahoma" w:hAnsi="Tahoma" w:cs="Tahoma"/>
                <w:sz w:val="20"/>
                <w:szCs w:val="20"/>
              </w:rPr>
              <w:t xml:space="preserve"> too early to tell</w:t>
            </w:r>
            <w:r w:rsidR="004A669D">
              <w:rPr>
                <w:rFonts w:ascii="Tahoma" w:hAnsi="Tahoma" w:cs="Tahoma"/>
                <w:sz w:val="20"/>
                <w:szCs w:val="20"/>
              </w:rPr>
              <w:t xml:space="preserve">. </w:t>
            </w:r>
          </w:p>
        </w:tc>
        <w:tc>
          <w:tcPr>
            <w:tcW w:w="3690" w:type="dxa"/>
          </w:tcPr>
          <w:p w:rsidR="00DF2D45" w:rsidRDefault="00AD214D" w:rsidP="005D1FF4">
            <w:pPr>
              <w:rPr>
                <w:rFonts w:ascii="Tahoma" w:hAnsi="Tahoma" w:cs="Tahoma"/>
                <w:sz w:val="20"/>
              </w:rPr>
            </w:pPr>
            <w:r>
              <w:rPr>
                <w:rFonts w:ascii="Tahoma" w:hAnsi="Tahoma" w:cs="Tahoma"/>
                <w:sz w:val="20"/>
              </w:rPr>
              <w:t>J</w:t>
            </w:r>
            <w:r w:rsidR="004D0C2E">
              <w:rPr>
                <w:rFonts w:ascii="Tahoma" w:hAnsi="Tahoma" w:cs="Tahoma"/>
                <w:sz w:val="20"/>
              </w:rPr>
              <w:t>enny will e-mail the PowerPoint on the initial data that has been collected</w:t>
            </w:r>
            <w:r>
              <w:rPr>
                <w:rFonts w:ascii="Tahoma" w:hAnsi="Tahoma" w:cs="Tahoma"/>
                <w:sz w:val="20"/>
              </w:rPr>
              <w:t>.</w:t>
            </w:r>
          </w:p>
        </w:tc>
      </w:tr>
      <w:tr w:rsidR="00DF2D45" w:rsidRPr="00123657" w:rsidTr="005E1D21">
        <w:tblPrEx>
          <w:tblCellMar>
            <w:left w:w="115" w:type="dxa"/>
            <w:right w:w="115" w:type="dxa"/>
          </w:tblCellMar>
        </w:tblPrEx>
        <w:trPr>
          <w:trHeight w:val="720"/>
        </w:trPr>
        <w:tc>
          <w:tcPr>
            <w:tcW w:w="3907" w:type="dxa"/>
          </w:tcPr>
          <w:p w:rsidR="00DF2D45" w:rsidRDefault="00DF2D45" w:rsidP="004A6A32">
            <w:pPr>
              <w:spacing w:before="60"/>
              <w:ind w:left="345" w:hanging="360"/>
              <w:rPr>
                <w:rFonts w:ascii="Tahoma" w:hAnsi="Tahoma" w:cs="Tahoma"/>
                <w:b/>
                <w:bCs/>
                <w:sz w:val="20"/>
                <w:szCs w:val="20"/>
              </w:rPr>
            </w:pPr>
            <w:r>
              <w:rPr>
                <w:rFonts w:ascii="Tahoma" w:hAnsi="Tahoma" w:cs="Tahoma"/>
                <w:b/>
                <w:bCs/>
                <w:sz w:val="20"/>
                <w:szCs w:val="20"/>
              </w:rPr>
              <w:t>10.</w:t>
            </w:r>
            <w:r w:rsidR="00E002AC">
              <w:rPr>
                <w:rFonts w:ascii="Tahoma" w:hAnsi="Tahoma" w:cs="Tahoma"/>
                <w:b/>
                <w:bCs/>
                <w:sz w:val="20"/>
                <w:szCs w:val="20"/>
              </w:rPr>
              <w:t xml:space="preserve"> </w:t>
            </w:r>
            <w:r w:rsidR="006406CE">
              <w:rPr>
                <w:rFonts w:ascii="Tahoma" w:hAnsi="Tahoma" w:cs="Tahoma"/>
                <w:b/>
                <w:bCs/>
                <w:sz w:val="20"/>
                <w:szCs w:val="20"/>
              </w:rPr>
              <w:t>Giddens / Bal</w:t>
            </w:r>
            <w:r w:rsidR="00F04792">
              <w:rPr>
                <w:rFonts w:ascii="Tahoma" w:hAnsi="Tahoma" w:cs="Tahoma"/>
                <w:b/>
                <w:bCs/>
                <w:sz w:val="20"/>
                <w:szCs w:val="20"/>
              </w:rPr>
              <w:t>l</w:t>
            </w:r>
            <w:r w:rsidR="006406CE">
              <w:rPr>
                <w:rFonts w:ascii="Tahoma" w:hAnsi="Tahoma" w:cs="Tahoma"/>
                <w:b/>
                <w:bCs/>
                <w:sz w:val="20"/>
                <w:szCs w:val="20"/>
              </w:rPr>
              <w:t>mer Foster Care Project</w:t>
            </w:r>
          </w:p>
        </w:tc>
        <w:tc>
          <w:tcPr>
            <w:tcW w:w="6840" w:type="dxa"/>
          </w:tcPr>
          <w:p w:rsidR="00DF2D45" w:rsidDel="00DF2D45" w:rsidRDefault="00AD214D" w:rsidP="004A669D">
            <w:pPr>
              <w:rPr>
                <w:rFonts w:ascii="Tahoma" w:hAnsi="Tahoma" w:cs="Tahoma"/>
                <w:sz w:val="20"/>
                <w:szCs w:val="20"/>
              </w:rPr>
            </w:pPr>
            <w:r>
              <w:rPr>
                <w:rFonts w:ascii="Tahoma" w:hAnsi="Tahoma" w:cs="Tahoma"/>
                <w:sz w:val="20"/>
                <w:szCs w:val="20"/>
              </w:rPr>
              <w:t xml:space="preserve">Tom wanted to </w:t>
            </w:r>
            <w:r w:rsidR="00F8138E">
              <w:rPr>
                <w:rFonts w:ascii="Tahoma" w:hAnsi="Tahoma" w:cs="Tahoma"/>
                <w:sz w:val="20"/>
                <w:szCs w:val="20"/>
              </w:rPr>
              <w:t xml:space="preserve">make sure </w:t>
            </w:r>
            <w:r>
              <w:rPr>
                <w:rFonts w:ascii="Tahoma" w:hAnsi="Tahoma" w:cs="Tahoma"/>
                <w:sz w:val="20"/>
                <w:szCs w:val="20"/>
              </w:rPr>
              <w:t xml:space="preserve">that CA is </w:t>
            </w:r>
            <w:r w:rsidR="00F8138E">
              <w:rPr>
                <w:rFonts w:ascii="Tahoma" w:hAnsi="Tahoma" w:cs="Tahoma"/>
                <w:sz w:val="20"/>
                <w:szCs w:val="20"/>
              </w:rPr>
              <w:t>aware of</w:t>
            </w:r>
            <w:r>
              <w:rPr>
                <w:rFonts w:ascii="Tahoma" w:hAnsi="Tahoma" w:cs="Tahoma"/>
                <w:sz w:val="20"/>
                <w:szCs w:val="20"/>
              </w:rPr>
              <w:t xml:space="preserve"> the Giddens/Bal</w:t>
            </w:r>
            <w:r w:rsidR="00F04792">
              <w:rPr>
                <w:rFonts w:ascii="Tahoma" w:hAnsi="Tahoma" w:cs="Tahoma"/>
                <w:sz w:val="20"/>
                <w:szCs w:val="20"/>
              </w:rPr>
              <w:t>l</w:t>
            </w:r>
            <w:r>
              <w:rPr>
                <w:rFonts w:ascii="Tahoma" w:hAnsi="Tahoma" w:cs="Tahoma"/>
                <w:sz w:val="20"/>
                <w:szCs w:val="20"/>
              </w:rPr>
              <w:t xml:space="preserve">mer Foster Care Project. Jennifer said they have been informed. Jeff gave a brief explanation of the 3 </w:t>
            </w:r>
            <w:r w:rsidR="00F8138E">
              <w:rPr>
                <w:rFonts w:ascii="Tahoma" w:hAnsi="Tahoma" w:cs="Tahoma"/>
                <w:sz w:val="20"/>
                <w:szCs w:val="20"/>
              </w:rPr>
              <w:t>workgroups</w:t>
            </w:r>
            <w:r w:rsidR="004A669D">
              <w:rPr>
                <w:rFonts w:ascii="Tahoma" w:hAnsi="Tahoma" w:cs="Tahoma"/>
                <w:sz w:val="20"/>
                <w:szCs w:val="20"/>
              </w:rPr>
              <w:t>-</w:t>
            </w:r>
            <w:r>
              <w:rPr>
                <w:rFonts w:ascii="Tahoma" w:hAnsi="Tahoma" w:cs="Tahoma"/>
                <w:sz w:val="20"/>
                <w:szCs w:val="20"/>
              </w:rPr>
              <w:t xml:space="preserve"> Recruitment, Retention and Advocacy.</w:t>
            </w:r>
          </w:p>
        </w:tc>
        <w:tc>
          <w:tcPr>
            <w:tcW w:w="3690" w:type="dxa"/>
          </w:tcPr>
          <w:p w:rsidR="00DF2D45" w:rsidRDefault="00DF2D45" w:rsidP="005D1FF4">
            <w:pPr>
              <w:rPr>
                <w:rFonts w:ascii="Tahoma" w:hAnsi="Tahoma" w:cs="Tahoma"/>
                <w:sz w:val="20"/>
              </w:rPr>
            </w:pPr>
          </w:p>
        </w:tc>
      </w:tr>
      <w:tr w:rsidR="00DF2D45" w:rsidRPr="00123657" w:rsidTr="005E1D21">
        <w:tblPrEx>
          <w:tblCellMar>
            <w:left w:w="115" w:type="dxa"/>
            <w:right w:w="115" w:type="dxa"/>
          </w:tblCellMar>
        </w:tblPrEx>
        <w:trPr>
          <w:trHeight w:val="720"/>
        </w:trPr>
        <w:tc>
          <w:tcPr>
            <w:tcW w:w="3907" w:type="dxa"/>
          </w:tcPr>
          <w:p w:rsidR="00DF2D45" w:rsidRDefault="00DF2D45" w:rsidP="00DF2D45">
            <w:pPr>
              <w:spacing w:before="60"/>
              <w:rPr>
                <w:rFonts w:ascii="Tahoma" w:hAnsi="Tahoma" w:cs="Tahoma"/>
                <w:b/>
                <w:bCs/>
                <w:sz w:val="20"/>
                <w:szCs w:val="20"/>
              </w:rPr>
            </w:pPr>
            <w:r>
              <w:rPr>
                <w:rFonts w:ascii="Tahoma" w:hAnsi="Tahoma" w:cs="Tahoma"/>
                <w:b/>
                <w:bCs/>
                <w:sz w:val="20"/>
                <w:szCs w:val="20"/>
              </w:rPr>
              <w:t>11.</w:t>
            </w:r>
            <w:r w:rsidR="00E002AC">
              <w:rPr>
                <w:rFonts w:ascii="Tahoma" w:hAnsi="Tahoma" w:cs="Tahoma"/>
                <w:b/>
                <w:bCs/>
                <w:sz w:val="20"/>
                <w:szCs w:val="20"/>
              </w:rPr>
              <w:t xml:space="preserve"> </w:t>
            </w:r>
            <w:r w:rsidR="006406CE">
              <w:rPr>
                <w:rFonts w:ascii="Tahoma" w:hAnsi="Tahoma" w:cs="Tahoma"/>
                <w:b/>
                <w:bCs/>
                <w:sz w:val="20"/>
                <w:szCs w:val="20"/>
              </w:rPr>
              <w:t>Status on out of state kids</w:t>
            </w:r>
          </w:p>
        </w:tc>
        <w:tc>
          <w:tcPr>
            <w:tcW w:w="6840" w:type="dxa"/>
          </w:tcPr>
          <w:p w:rsidR="00DF2D45" w:rsidRDefault="004D0C2E" w:rsidP="006208A3">
            <w:pPr>
              <w:rPr>
                <w:rFonts w:ascii="Tahoma" w:hAnsi="Tahoma" w:cs="Tahoma"/>
                <w:sz w:val="20"/>
                <w:szCs w:val="20"/>
              </w:rPr>
            </w:pPr>
            <w:r>
              <w:rPr>
                <w:rFonts w:ascii="Tahoma" w:hAnsi="Tahoma" w:cs="Tahoma"/>
                <w:sz w:val="20"/>
                <w:szCs w:val="20"/>
              </w:rPr>
              <w:t xml:space="preserve">CA has had conversations with out of state providers about coming in and renovating unused </w:t>
            </w:r>
            <w:r w:rsidR="000F3604">
              <w:rPr>
                <w:rFonts w:ascii="Tahoma" w:hAnsi="Tahoma" w:cs="Tahoma"/>
                <w:sz w:val="20"/>
                <w:szCs w:val="20"/>
              </w:rPr>
              <w:t xml:space="preserve">state facilities. </w:t>
            </w:r>
            <w:r>
              <w:rPr>
                <w:rFonts w:ascii="Tahoma" w:hAnsi="Tahoma" w:cs="Tahoma"/>
                <w:sz w:val="20"/>
                <w:szCs w:val="20"/>
              </w:rPr>
              <w:t>Some of the recommendations for the most suitable facilities are; Fircrest School on the perimeter, and two other locations in E. WA.  One is an abandoned residential hall at Lakeland Village and the other is the Education Center at Pine Lodge.</w:t>
            </w:r>
          </w:p>
          <w:p w:rsidR="004D0C2E" w:rsidRDefault="004D0C2E" w:rsidP="006208A3">
            <w:pPr>
              <w:rPr>
                <w:rFonts w:ascii="Tahoma" w:hAnsi="Tahoma" w:cs="Tahoma"/>
                <w:sz w:val="20"/>
                <w:szCs w:val="20"/>
              </w:rPr>
            </w:pPr>
          </w:p>
          <w:p w:rsidR="004D0C2E" w:rsidDel="00DF2D45" w:rsidRDefault="004D0C2E" w:rsidP="000F3604">
            <w:pPr>
              <w:rPr>
                <w:rFonts w:ascii="Tahoma" w:hAnsi="Tahoma" w:cs="Tahoma"/>
                <w:sz w:val="20"/>
                <w:szCs w:val="20"/>
              </w:rPr>
            </w:pPr>
            <w:r>
              <w:rPr>
                <w:rFonts w:ascii="Tahoma" w:hAnsi="Tahoma" w:cs="Tahoma"/>
                <w:sz w:val="20"/>
                <w:szCs w:val="20"/>
              </w:rPr>
              <w:t>C</w:t>
            </w:r>
            <w:r w:rsidR="000F3604">
              <w:rPr>
                <w:rFonts w:ascii="Tahoma" w:hAnsi="Tahoma" w:cs="Tahoma"/>
                <w:sz w:val="20"/>
                <w:szCs w:val="20"/>
              </w:rPr>
              <w:t>A</w:t>
            </w:r>
            <w:r w:rsidR="00DE66E3">
              <w:rPr>
                <w:rFonts w:ascii="Tahoma" w:hAnsi="Tahoma" w:cs="Tahoma"/>
                <w:sz w:val="20"/>
                <w:szCs w:val="20"/>
              </w:rPr>
              <w:t xml:space="preserve"> </w:t>
            </w:r>
            <w:r>
              <w:rPr>
                <w:rFonts w:ascii="Tahoma" w:hAnsi="Tahoma" w:cs="Tahoma"/>
                <w:sz w:val="20"/>
                <w:szCs w:val="20"/>
              </w:rPr>
              <w:t xml:space="preserve">reported that there are currently 49 kids out of state as of Dec. 2016. </w:t>
            </w:r>
            <w:r w:rsidR="00DE66E3">
              <w:rPr>
                <w:rFonts w:ascii="Tahoma" w:hAnsi="Tahoma" w:cs="Tahoma"/>
                <w:sz w:val="20"/>
                <w:szCs w:val="20"/>
              </w:rPr>
              <w:t xml:space="preserve">Most of the kids are in the Sequel </w:t>
            </w:r>
            <w:r w:rsidR="000F3604">
              <w:rPr>
                <w:rFonts w:ascii="Tahoma" w:hAnsi="Tahoma" w:cs="Tahoma"/>
                <w:sz w:val="20"/>
                <w:szCs w:val="20"/>
              </w:rPr>
              <w:t>Systems, the numbers have stabilized,</w:t>
            </w:r>
            <w:r>
              <w:rPr>
                <w:rFonts w:ascii="Tahoma" w:hAnsi="Tahoma" w:cs="Tahoma"/>
                <w:sz w:val="20"/>
                <w:szCs w:val="20"/>
              </w:rPr>
              <w:t xml:space="preserve"> and the kids are staying shorter durations.</w:t>
            </w:r>
          </w:p>
        </w:tc>
        <w:tc>
          <w:tcPr>
            <w:tcW w:w="3690" w:type="dxa"/>
          </w:tcPr>
          <w:p w:rsidR="00DF2D45" w:rsidRDefault="00DF2D45" w:rsidP="005D1FF4">
            <w:pPr>
              <w:rPr>
                <w:rFonts w:ascii="Tahoma" w:hAnsi="Tahoma" w:cs="Tahoma"/>
                <w:sz w:val="20"/>
              </w:rPr>
            </w:pPr>
          </w:p>
        </w:tc>
      </w:tr>
      <w:tr w:rsidR="00DF2D45" w:rsidRPr="00123657" w:rsidTr="005E1D21">
        <w:tblPrEx>
          <w:tblCellMar>
            <w:left w:w="115" w:type="dxa"/>
            <w:right w:w="115" w:type="dxa"/>
          </w:tblCellMar>
        </w:tblPrEx>
        <w:trPr>
          <w:trHeight w:val="720"/>
        </w:trPr>
        <w:tc>
          <w:tcPr>
            <w:tcW w:w="3907" w:type="dxa"/>
          </w:tcPr>
          <w:p w:rsidR="00DF2D45" w:rsidRDefault="00DF2D45" w:rsidP="00DF2D45">
            <w:pPr>
              <w:spacing w:before="60"/>
              <w:rPr>
                <w:rFonts w:ascii="Tahoma" w:hAnsi="Tahoma" w:cs="Tahoma"/>
                <w:b/>
                <w:bCs/>
                <w:sz w:val="20"/>
                <w:szCs w:val="20"/>
              </w:rPr>
            </w:pPr>
            <w:r>
              <w:rPr>
                <w:rFonts w:ascii="Tahoma" w:hAnsi="Tahoma" w:cs="Tahoma"/>
                <w:b/>
                <w:bCs/>
                <w:sz w:val="20"/>
                <w:szCs w:val="20"/>
              </w:rPr>
              <w:t>12.</w:t>
            </w:r>
            <w:r w:rsidR="00E002AC">
              <w:rPr>
                <w:rFonts w:ascii="Tahoma" w:hAnsi="Tahoma" w:cs="Tahoma"/>
                <w:b/>
                <w:bCs/>
                <w:sz w:val="20"/>
                <w:szCs w:val="20"/>
              </w:rPr>
              <w:t xml:space="preserve"> </w:t>
            </w:r>
            <w:r w:rsidR="006406CE">
              <w:rPr>
                <w:rFonts w:ascii="Tahoma" w:hAnsi="Tahoma" w:cs="Tahoma"/>
                <w:b/>
                <w:bCs/>
                <w:sz w:val="20"/>
                <w:szCs w:val="20"/>
              </w:rPr>
              <w:t>Status on STRIVE</w:t>
            </w:r>
          </w:p>
        </w:tc>
        <w:tc>
          <w:tcPr>
            <w:tcW w:w="6840" w:type="dxa"/>
          </w:tcPr>
          <w:p w:rsidR="00DF2D45" w:rsidDel="00DF2D45" w:rsidRDefault="000F3604" w:rsidP="000F3604">
            <w:pPr>
              <w:rPr>
                <w:rFonts w:ascii="Tahoma" w:hAnsi="Tahoma" w:cs="Tahoma"/>
                <w:sz w:val="20"/>
                <w:szCs w:val="20"/>
              </w:rPr>
            </w:pPr>
            <w:r>
              <w:rPr>
                <w:rFonts w:ascii="Tahoma" w:hAnsi="Tahoma" w:cs="Tahoma"/>
                <w:sz w:val="20"/>
                <w:szCs w:val="20"/>
              </w:rPr>
              <w:t>CA</w:t>
            </w:r>
            <w:r w:rsidR="004D0C2E">
              <w:rPr>
                <w:rFonts w:ascii="Tahoma" w:hAnsi="Tahoma" w:cs="Tahoma"/>
                <w:sz w:val="20"/>
                <w:szCs w:val="20"/>
              </w:rPr>
              <w:t xml:space="preserve"> reported that POC is having difficulty getting participat</w:t>
            </w:r>
            <w:r>
              <w:rPr>
                <w:rFonts w:ascii="Tahoma" w:hAnsi="Tahoma" w:cs="Tahoma"/>
                <w:sz w:val="20"/>
                <w:szCs w:val="20"/>
              </w:rPr>
              <w:t>ion</w:t>
            </w:r>
            <w:r w:rsidR="004D0C2E">
              <w:rPr>
                <w:rFonts w:ascii="Tahoma" w:hAnsi="Tahoma" w:cs="Tahoma"/>
                <w:sz w:val="20"/>
                <w:szCs w:val="20"/>
              </w:rPr>
              <w:t>.</w:t>
            </w:r>
          </w:p>
        </w:tc>
        <w:tc>
          <w:tcPr>
            <w:tcW w:w="3690" w:type="dxa"/>
          </w:tcPr>
          <w:p w:rsidR="00DF2D45" w:rsidRDefault="00DF2D45" w:rsidP="005D1FF4">
            <w:pPr>
              <w:rPr>
                <w:rFonts w:ascii="Tahoma" w:hAnsi="Tahoma" w:cs="Tahoma"/>
                <w:sz w:val="20"/>
              </w:rPr>
            </w:pPr>
          </w:p>
        </w:tc>
      </w:tr>
    </w:tbl>
    <w:p w:rsidR="00C120F9" w:rsidRPr="00123657" w:rsidRDefault="00561D75" w:rsidP="00FA4BD7">
      <w:pPr>
        <w:pStyle w:val="Heading2"/>
        <w:rPr>
          <w:rFonts w:ascii="Tahoma" w:hAnsi="Tahoma" w:cs="Tahoma"/>
        </w:rPr>
      </w:pPr>
      <w:r>
        <w:rPr>
          <w:rFonts w:ascii="Tahoma" w:hAnsi="Tahoma" w:cs="Tahoma"/>
        </w:rPr>
        <w:t>Prepared by Linda Conchi</w:t>
      </w:r>
    </w:p>
    <w:sectPr w:rsidR="00C120F9" w:rsidRPr="00123657" w:rsidSect="00446439">
      <w:footerReference w:type="default" r:id="rId9"/>
      <w:pgSz w:w="15840" w:h="12240" w:orient="landscape"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DC9" w:rsidRDefault="00B82DC9">
      <w:r>
        <w:separator/>
      </w:r>
    </w:p>
  </w:endnote>
  <w:endnote w:type="continuationSeparator" w:id="0">
    <w:p w:rsidR="00B82DC9" w:rsidRDefault="00B8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85" w:rsidRDefault="006B2285">
    <w:pPr>
      <w:pStyle w:val="Footer"/>
      <w:tabs>
        <w:tab w:val="clear" w:pos="8640"/>
        <w:tab w:val="right" w:pos="14640"/>
      </w:tabs>
      <w:rPr>
        <w:rStyle w:val="PageNumber"/>
        <w:sz w:val="16"/>
      </w:rPr>
    </w:pPr>
  </w:p>
  <w:p w:rsidR="006B2285" w:rsidRDefault="006B2285">
    <w:pPr>
      <w:pStyle w:val="Footer"/>
      <w:tabs>
        <w:tab w:val="clear" w:pos="8640"/>
        <w:tab w:val="right" w:pos="14640"/>
      </w:tabs>
      <w:rPr>
        <w:sz w:val="16"/>
      </w:rPr>
    </w:pPr>
    <w:r>
      <w:rPr>
        <w:rStyle w:val="PageNumbe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DC9" w:rsidRDefault="00B82DC9">
      <w:r>
        <w:separator/>
      </w:r>
    </w:p>
  </w:footnote>
  <w:footnote w:type="continuationSeparator" w:id="0">
    <w:p w:rsidR="00B82DC9" w:rsidRDefault="00B82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35B5"/>
    <w:multiLevelType w:val="hybridMultilevel"/>
    <w:tmpl w:val="5F9C368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 w15:restartNumberingAfterBreak="0">
    <w:nsid w:val="084E520A"/>
    <w:multiLevelType w:val="hybridMultilevel"/>
    <w:tmpl w:val="14C41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32669"/>
    <w:multiLevelType w:val="hybridMultilevel"/>
    <w:tmpl w:val="759EA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42F4E"/>
    <w:multiLevelType w:val="hybridMultilevel"/>
    <w:tmpl w:val="B8DA1E92"/>
    <w:lvl w:ilvl="0" w:tplc="ED58F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20D20"/>
    <w:multiLevelType w:val="hybridMultilevel"/>
    <w:tmpl w:val="92D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944C7"/>
    <w:multiLevelType w:val="hybridMultilevel"/>
    <w:tmpl w:val="847E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86632"/>
    <w:multiLevelType w:val="hybridMultilevel"/>
    <w:tmpl w:val="B4828E60"/>
    <w:lvl w:ilvl="0" w:tplc="54D293A6">
      <w:start w:val="3"/>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C2B84"/>
    <w:multiLevelType w:val="hybridMultilevel"/>
    <w:tmpl w:val="390E2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252023"/>
    <w:multiLevelType w:val="hybridMultilevel"/>
    <w:tmpl w:val="30B29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6C6AEA"/>
    <w:multiLevelType w:val="hybridMultilevel"/>
    <w:tmpl w:val="ADD0B652"/>
    <w:lvl w:ilvl="0" w:tplc="EEB0918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3500D"/>
    <w:multiLevelType w:val="hybridMultilevel"/>
    <w:tmpl w:val="828832C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1" w15:restartNumberingAfterBreak="0">
    <w:nsid w:val="20161B48"/>
    <w:multiLevelType w:val="hybridMultilevel"/>
    <w:tmpl w:val="893E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B0CDA"/>
    <w:multiLevelType w:val="hybridMultilevel"/>
    <w:tmpl w:val="6BE8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C6374"/>
    <w:multiLevelType w:val="hybridMultilevel"/>
    <w:tmpl w:val="48FC5D00"/>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4" w15:restartNumberingAfterBreak="0">
    <w:nsid w:val="2B9127AF"/>
    <w:multiLevelType w:val="hybridMultilevel"/>
    <w:tmpl w:val="50BE05C2"/>
    <w:lvl w:ilvl="0" w:tplc="8AB47DFA">
      <w:start w:val="5"/>
      <w:numFmt w:val="decimal"/>
      <w:lvlText w:val="%1."/>
      <w:lvlJc w:val="left"/>
      <w:pPr>
        <w:tabs>
          <w:tab w:val="num" w:pos="720"/>
        </w:tabs>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65B11"/>
    <w:multiLevelType w:val="hybridMultilevel"/>
    <w:tmpl w:val="F1364804"/>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6" w15:restartNumberingAfterBreak="0">
    <w:nsid w:val="30AA320A"/>
    <w:multiLevelType w:val="hybridMultilevel"/>
    <w:tmpl w:val="F20EB2A0"/>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7" w15:restartNumberingAfterBreak="0">
    <w:nsid w:val="31277382"/>
    <w:multiLevelType w:val="hybridMultilevel"/>
    <w:tmpl w:val="197AC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F25034"/>
    <w:multiLevelType w:val="hybridMultilevel"/>
    <w:tmpl w:val="39C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A210A"/>
    <w:multiLevelType w:val="hybridMultilevel"/>
    <w:tmpl w:val="8C10A760"/>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0" w15:restartNumberingAfterBreak="0">
    <w:nsid w:val="36907781"/>
    <w:multiLevelType w:val="hybridMultilevel"/>
    <w:tmpl w:val="EAA2DB4C"/>
    <w:lvl w:ilvl="0" w:tplc="5D90F9D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487DCE"/>
    <w:multiLevelType w:val="hybridMultilevel"/>
    <w:tmpl w:val="3EEE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43D9C"/>
    <w:multiLevelType w:val="hybridMultilevel"/>
    <w:tmpl w:val="BD6E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83028"/>
    <w:multiLevelType w:val="hybridMultilevel"/>
    <w:tmpl w:val="52806F16"/>
    <w:lvl w:ilvl="0" w:tplc="AA0ABCB8">
      <w:start w:val="5"/>
      <w:numFmt w:val="decimal"/>
      <w:lvlText w:val="%1."/>
      <w:lvlJc w:val="left"/>
      <w:pPr>
        <w:tabs>
          <w:tab w:val="num" w:pos="720"/>
        </w:tabs>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D75BA"/>
    <w:multiLevelType w:val="hybridMultilevel"/>
    <w:tmpl w:val="722C93E2"/>
    <w:lvl w:ilvl="0" w:tplc="7A0800A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B57E56"/>
    <w:multiLevelType w:val="hybridMultilevel"/>
    <w:tmpl w:val="016831EC"/>
    <w:lvl w:ilvl="0" w:tplc="CE541B40">
      <w:start w:val="4"/>
      <w:numFmt w:val="decimal"/>
      <w:lvlText w:val="%1."/>
      <w:lvlJc w:val="left"/>
      <w:pPr>
        <w:tabs>
          <w:tab w:val="num" w:pos="1440"/>
        </w:tabs>
        <w:ind w:left="144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377857"/>
    <w:multiLevelType w:val="hybridMultilevel"/>
    <w:tmpl w:val="E9D88682"/>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7" w15:restartNumberingAfterBreak="0">
    <w:nsid w:val="499760B4"/>
    <w:multiLevelType w:val="hybridMultilevel"/>
    <w:tmpl w:val="6A6E5840"/>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28" w15:restartNumberingAfterBreak="0">
    <w:nsid w:val="4B6657BE"/>
    <w:multiLevelType w:val="hybridMultilevel"/>
    <w:tmpl w:val="DA3018EE"/>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9" w15:restartNumberingAfterBreak="0">
    <w:nsid w:val="4D3E78AC"/>
    <w:multiLevelType w:val="hybridMultilevel"/>
    <w:tmpl w:val="D73A73E0"/>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30" w15:restartNumberingAfterBreak="0">
    <w:nsid w:val="52153665"/>
    <w:multiLevelType w:val="hybridMultilevel"/>
    <w:tmpl w:val="0D96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21776"/>
    <w:multiLevelType w:val="hybridMultilevel"/>
    <w:tmpl w:val="9F5864F4"/>
    <w:lvl w:ilvl="0" w:tplc="CE541B40">
      <w:start w:val="4"/>
      <w:numFmt w:val="decimal"/>
      <w:lvlText w:val="%1."/>
      <w:lvlJc w:val="left"/>
      <w:pPr>
        <w:tabs>
          <w:tab w:val="num" w:pos="720"/>
        </w:tabs>
        <w:ind w:left="720" w:hanging="360"/>
      </w:pPr>
      <w:rPr>
        <w:rFonts w:hint="default"/>
      </w:rPr>
    </w:lvl>
    <w:lvl w:ilvl="1" w:tplc="5364812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983C87"/>
    <w:multiLevelType w:val="hybridMultilevel"/>
    <w:tmpl w:val="7E2E33E8"/>
    <w:lvl w:ilvl="0" w:tplc="C388B58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823786"/>
    <w:multiLevelType w:val="hybridMultilevel"/>
    <w:tmpl w:val="B75E2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5B1C2B"/>
    <w:multiLevelType w:val="hybridMultilevel"/>
    <w:tmpl w:val="83E8DBF0"/>
    <w:lvl w:ilvl="0" w:tplc="F61E684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790F14"/>
    <w:multiLevelType w:val="hybridMultilevel"/>
    <w:tmpl w:val="5B4E5CB6"/>
    <w:lvl w:ilvl="0" w:tplc="AE543FD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4544FC"/>
    <w:multiLevelType w:val="hybridMultilevel"/>
    <w:tmpl w:val="E3889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C970B0"/>
    <w:multiLevelType w:val="hybridMultilevel"/>
    <w:tmpl w:val="9C12DA42"/>
    <w:lvl w:ilvl="0" w:tplc="44A83DD0">
      <w:start w:val="4"/>
      <w:numFmt w:val="decimal"/>
      <w:lvlText w:val="%1."/>
      <w:lvlJc w:val="left"/>
      <w:pPr>
        <w:tabs>
          <w:tab w:val="num" w:pos="720"/>
        </w:tabs>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A6570"/>
    <w:multiLevelType w:val="hybridMultilevel"/>
    <w:tmpl w:val="17E2AC04"/>
    <w:lvl w:ilvl="0" w:tplc="FE0A8442">
      <w:start w:val="1"/>
      <w:numFmt w:val="decimal"/>
      <w:lvlText w:val="%1."/>
      <w:lvlJc w:val="left"/>
      <w:pPr>
        <w:tabs>
          <w:tab w:val="num" w:pos="720"/>
        </w:tabs>
        <w:ind w:left="720" w:hanging="360"/>
      </w:pPr>
      <w:rPr>
        <w:rFonts w:hint="default"/>
        <w:b/>
        <w:i w:val="0"/>
        <w:sz w:val="20"/>
      </w:rPr>
    </w:lvl>
    <w:lvl w:ilvl="1" w:tplc="8A82091E">
      <w:start w:val="3"/>
      <w:numFmt w:val="decimal"/>
      <w:lvlText w:val="%2."/>
      <w:lvlJc w:val="left"/>
      <w:pPr>
        <w:tabs>
          <w:tab w:val="num" w:pos="1440"/>
        </w:tabs>
        <w:ind w:left="1440" w:hanging="360"/>
      </w:pPr>
      <w:rPr>
        <w:rFonts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5944F1"/>
    <w:multiLevelType w:val="hybridMultilevel"/>
    <w:tmpl w:val="29F63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3177C1"/>
    <w:multiLevelType w:val="hybridMultilevel"/>
    <w:tmpl w:val="F1EC9A9C"/>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41" w15:restartNumberingAfterBreak="0">
    <w:nsid w:val="7A1F40EC"/>
    <w:multiLevelType w:val="hybridMultilevel"/>
    <w:tmpl w:val="E0084014"/>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42" w15:restartNumberingAfterBreak="0">
    <w:nsid w:val="7A6662D1"/>
    <w:multiLevelType w:val="hybridMultilevel"/>
    <w:tmpl w:val="7158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60233"/>
    <w:multiLevelType w:val="hybridMultilevel"/>
    <w:tmpl w:val="0894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2"/>
  </w:num>
  <w:num w:numId="4">
    <w:abstractNumId w:val="33"/>
  </w:num>
  <w:num w:numId="5">
    <w:abstractNumId w:val="32"/>
  </w:num>
  <w:num w:numId="6">
    <w:abstractNumId w:val="35"/>
  </w:num>
  <w:num w:numId="7">
    <w:abstractNumId w:val="34"/>
  </w:num>
  <w:num w:numId="8">
    <w:abstractNumId w:val="24"/>
  </w:num>
  <w:num w:numId="9">
    <w:abstractNumId w:val="16"/>
  </w:num>
  <w:num w:numId="10">
    <w:abstractNumId w:val="20"/>
  </w:num>
  <w:num w:numId="11">
    <w:abstractNumId w:val="8"/>
  </w:num>
  <w:num w:numId="12">
    <w:abstractNumId w:val="28"/>
  </w:num>
  <w:num w:numId="13">
    <w:abstractNumId w:val="41"/>
  </w:num>
  <w:num w:numId="14">
    <w:abstractNumId w:val="9"/>
  </w:num>
  <w:num w:numId="15">
    <w:abstractNumId w:val="14"/>
  </w:num>
  <w:num w:numId="16">
    <w:abstractNumId w:val="19"/>
  </w:num>
  <w:num w:numId="17">
    <w:abstractNumId w:val="37"/>
  </w:num>
  <w:num w:numId="18">
    <w:abstractNumId w:val="26"/>
  </w:num>
  <w:num w:numId="19">
    <w:abstractNumId w:val="29"/>
  </w:num>
  <w:num w:numId="20">
    <w:abstractNumId w:val="0"/>
  </w:num>
  <w:num w:numId="21">
    <w:abstractNumId w:val="23"/>
  </w:num>
  <w:num w:numId="22">
    <w:abstractNumId w:val="25"/>
  </w:num>
  <w:num w:numId="23">
    <w:abstractNumId w:val="21"/>
  </w:num>
  <w:num w:numId="24">
    <w:abstractNumId w:val="13"/>
  </w:num>
  <w:num w:numId="25">
    <w:abstractNumId w:val="39"/>
  </w:num>
  <w:num w:numId="26">
    <w:abstractNumId w:val="4"/>
  </w:num>
  <w:num w:numId="27">
    <w:abstractNumId w:val="43"/>
  </w:num>
  <w:num w:numId="28">
    <w:abstractNumId w:val="1"/>
  </w:num>
  <w:num w:numId="29">
    <w:abstractNumId w:val="6"/>
  </w:num>
  <w:num w:numId="30">
    <w:abstractNumId w:val="18"/>
  </w:num>
  <w:num w:numId="31">
    <w:abstractNumId w:val="15"/>
  </w:num>
  <w:num w:numId="32">
    <w:abstractNumId w:val="40"/>
  </w:num>
  <w:num w:numId="33">
    <w:abstractNumId w:val="30"/>
  </w:num>
  <w:num w:numId="34">
    <w:abstractNumId w:val="27"/>
  </w:num>
  <w:num w:numId="35">
    <w:abstractNumId w:val="10"/>
  </w:num>
  <w:num w:numId="36">
    <w:abstractNumId w:val="22"/>
  </w:num>
  <w:num w:numId="37">
    <w:abstractNumId w:val="5"/>
  </w:num>
  <w:num w:numId="38">
    <w:abstractNumId w:val="3"/>
  </w:num>
  <w:num w:numId="39">
    <w:abstractNumId w:val="36"/>
  </w:num>
  <w:num w:numId="40">
    <w:abstractNumId w:val="42"/>
  </w:num>
  <w:num w:numId="41">
    <w:abstractNumId w:val="12"/>
  </w:num>
  <w:num w:numId="42">
    <w:abstractNumId w:val="7"/>
  </w:num>
  <w:num w:numId="43">
    <w:abstractNumId w:val="1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A9"/>
    <w:rsid w:val="00011F90"/>
    <w:rsid w:val="00012896"/>
    <w:rsid w:val="00027CAB"/>
    <w:rsid w:val="00036A44"/>
    <w:rsid w:val="0004278F"/>
    <w:rsid w:val="00052FD8"/>
    <w:rsid w:val="000544A6"/>
    <w:rsid w:val="00057FFA"/>
    <w:rsid w:val="000637DD"/>
    <w:rsid w:val="000669DC"/>
    <w:rsid w:val="000808F2"/>
    <w:rsid w:val="00083674"/>
    <w:rsid w:val="00083ECF"/>
    <w:rsid w:val="000A2FED"/>
    <w:rsid w:val="000B6400"/>
    <w:rsid w:val="000C6922"/>
    <w:rsid w:val="000D27AA"/>
    <w:rsid w:val="000E365F"/>
    <w:rsid w:val="000E3FB3"/>
    <w:rsid w:val="000F3604"/>
    <w:rsid w:val="00100959"/>
    <w:rsid w:val="001031AA"/>
    <w:rsid w:val="00107DE9"/>
    <w:rsid w:val="00111342"/>
    <w:rsid w:val="0011174A"/>
    <w:rsid w:val="00115043"/>
    <w:rsid w:val="001158E2"/>
    <w:rsid w:val="001200E6"/>
    <w:rsid w:val="001209DA"/>
    <w:rsid w:val="00123657"/>
    <w:rsid w:val="00126A8E"/>
    <w:rsid w:val="0014263C"/>
    <w:rsid w:val="001639E7"/>
    <w:rsid w:val="00163F8A"/>
    <w:rsid w:val="001671AB"/>
    <w:rsid w:val="00172F59"/>
    <w:rsid w:val="00175DA9"/>
    <w:rsid w:val="001928F3"/>
    <w:rsid w:val="001A1ECA"/>
    <w:rsid w:val="001A2E06"/>
    <w:rsid w:val="001B0158"/>
    <w:rsid w:val="001D5E99"/>
    <w:rsid w:val="001E1718"/>
    <w:rsid w:val="001F5313"/>
    <w:rsid w:val="00204C3F"/>
    <w:rsid w:val="00207BFA"/>
    <w:rsid w:val="00212CF6"/>
    <w:rsid w:val="002148FE"/>
    <w:rsid w:val="00217949"/>
    <w:rsid w:val="00245D3D"/>
    <w:rsid w:val="00251C49"/>
    <w:rsid w:val="00252257"/>
    <w:rsid w:val="0025606E"/>
    <w:rsid w:val="00256F7D"/>
    <w:rsid w:val="0026304B"/>
    <w:rsid w:val="00263B0B"/>
    <w:rsid w:val="00276293"/>
    <w:rsid w:val="00277BAB"/>
    <w:rsid w:val="00281520"/>
    <w:rsid w:val="0028198B"/>
    <w:rsid w:val="00285AE2"/>
    <w:rsid w:val="00285FA3"/>
    <w:rsid w:val="00290DB1"/>
    <w:rsid w:val="002A1089"/>
    <w:rsid w:val="002A4454"/>
    <w:rsid w:val="002B0FFD"/>
    <w:rsid w:val="002B302E"/>
    <w:rsid w:val="002B6EC4"/>
    <w:rsid w:val="002C6064"/>
    <w:rsid w:val="002D2D53"/>
    <w:rsid w:val="002D52D2"/>
    <w:rsid w:val="002E341B"/>
    <w:rsid w:val="002E5652"/>
    <w:rsid w:val="002F614E"/>
    <w:rsid w:val="002F79DE"/>
    <w:rsid w:val="00302279"/>
    <w:rsid w:val="00305DED"/>
    <w:rsid w:val="00310B60"/>
    <w:rsid w:val="0031154C"/>
    <w:rsid w:val="00313C95"/>
    <w:rsid w:val="00315204"/>
    <w:rsid w:val="00315C93"/>
    <w:rsid w:val="00316219"/>
    <w:rsid w:val="00316D7E"/>
    <w:rsid w:val="00323C72"/>
    <w:rsid w:val="00331ABF"/>
    <w:rsid w:val="00344499"/>
    <w:rsid w:val="00355A62"/>
    <w:rsid w:val="00360078"/>
    <w:rsid w:val="00363B49"/>
    <w:rsid w:val="003729D1"/>
    <w:rsid w:val="00373952"/>
    <w:rsid w:val="00381E98"/>
    <w:rsid w:val="00396327"/>
    <w:rsid w:val="00397D88"/>
    <w:rsid w:val="003A185A"/>
    <w:rsid w:val="003C147D"/>
    <w:rsid w:val="003C6E5D"/>
    <w:rsid w:val="003E628E"/>
    <w:rsid w:val="003F330A"/>
    <w:rsid w:val="004162B1"/>
    <w:rsid w:val="004228CC"/>
    <w:rsid w:val="00423B09"/>
    <w:rsid w:val="0042760D"/>
    <w:rsid w:val="00442262"/>
    <w:rsid w:val="0044250D"/>
    <w:rsid w:val="004427F3"/>
    <w:rsid w:val="00446439"/>
    <w:rsid w:val="00446B1A"/>
    <w:rsid w:val="004514A8"/>
    <w:rsid w:val="00454506"/>
    <w:rsid w:val="00460E30"/>
    <w:rsid w:val="0048616A"/>
    <w:rsid w:val="004913C9"/>
    <w:rsid w:val="00494E5A"/>
    <w:rsid w:val="004A1A01"/>
    <w:rsid w:val="004A2FA9"/>
    <w:rsid w:val="004A669D"/>
    <w:rsid w:val="004A6A32"/>
    <w:rsid w:val="004A7840"/>
    <w:rsid w:val="004B20BD"/>
    <w:rsid w:val="004D0C2E"/>
    <w:rsid w:val="004D21CD"/>
    <w:rsid w:val="004D2A06"/>
    <w:rsid w:val="004D6207"/>
    <w:rsid w:val="004D72D4"/>
    <w:rsid w:val="004E06C9"/>
    <w:rsid w:val="004E62B7"/>
    <w:rsid w:val="005013E5"/>
    <w:rsid w:val="00506D09"/>
    <w:rsid w:val="00523E8D"/>
    <w:rsid w:val="00534DD6"/>
    <w:rsid w:val="005542F0"/>
    <w:rsid w:val="0056184F"/>
    <w:rsid w:val="00561D75"/>
    <w:rsid w:val="005621BF"/>
    <w:rsid w:val="005B0706"/>
    <w:rsid w:val="005B2477"/>
    <w:rsid w:val="005B3EF5"/>
    <w:rsid w:val="005B5C97"/>
    <w:rsid w:val="005C202B"/>
    <w:rsid w:val="005C6115"/>
    <w:rsid w:val="005D1FF4"/>
    <w:rsid w:val="005D47A5"/>
    <w:rsid w:val="005D6A5D"/>
    <w:rsid w:val="005D7BF1"/>
    <w:rsid w:val="005E1D21"/>
    <w:rsid w:val="005F13DF"/>
    <w:rsid w:val="005F4F7F"/>
    <w:rsid w:val="00613B51"/>
    <w:rsid w:val="00617B84"/>
    <w:rsid w:val="006208A3"/>
    <w:rsid w:val="00620907"/>
    <w:rsid w:val="00626668"/>
    <w:rsid w:val="006275F9"/>
    <w:rsid w:val="00637167"/>
    <w:rsid w:val="006406CE"/>
    <w:rsid w:val="0064244B"/>
    <w:rsid w:val="006453FB"/>
    <w:rsid w:val="006516D3"/>
    <w:rsid w:val="00657A76"/>
    <w:rsid w:val="006704A4"/>
    <w:rsid w:val="00674268"/>
    <w:rsid w:val="0067692F"/>
    <w:rsid w:val="00676982"/>
    <w:rsid w:val="006850D6"/>
    <w:rsid w:val="00692F29"/>
    <w:rsid w:val="00693DE4"/>
    <w:rsid w:val="0069469E"/>
    <w:rsid w:val="006A136C"/>
    <w:rsid w:val="006A1C99"/>
    <w:rsid w:val="006A2190"/>
    <w:rsid w:val="006A4035"/>
    <w:rsid w:val="006A74DB"/>
    <w:rsid w:val="006B2285"/>
    <w:rsid w:val="006B58E3"/>
    <w:rsid w:val="006C1D11"/>
    <w:rsid w:val="006D7B38"/>
    <w:rsid w:val="006E759E"/>
    <w:rsid w:val="0071221A"/>
    <w:rsid w:val="00714197"/>
    <w:rsid w:val="00722F63"/>
    <w:rsid w:val="00723B34"/>
    <w:rsid w:val="00724B83"/>
    <w:rsid w:val="007343ED"/>
    <w:rsid w:val="00745FF8"/>
    <w:rsid w:val="00765A86"/>
    <w:rsid w:val="0078759C"/>
    <w:rsid w:val="00791B3D"/>
    <w:rsid w:val="007940A2"/>
    <w:rsid w:val="007C5511"/>
    <w:rsid w:val="007D30FA"/>
    <w:rsid w:val="007D6EBE"/>
    <w:rsid w:val="007E5120"/>
    <w:rsid w:val="007F1E18"/>
    <w:rsid w:val="007F6CD9"/>
    <w:rsid w:val="008078B5"/>
    <w:rsid w:val="00810921"/>
    <w:rsid w:val="008151C8"/>
    <w:rsid w:val="00820CA5"/>
    <w:rsid w:val="0082480F"/>
    <w:rsid w:val="0082613C"/>
    <w:rsid w:val="0085250A"/>
    <w:rsid w:val="00862B68"/>
    <w:rsid w:val="00875E0B"/>
    <w:rsid w:val="00885151"/>
    <w:rsid w:val="008868A5"/>
    <w:rsid w:val="00894560"/>
    <w:rsid w:val="008A25A5"/>
    <w:rsid w:val="008B3BFE"/>
    <w:rsid w:val="008B51D9"/>
    <w:rsid w:val="008B760D"/>
    <w:rsid w:val="008B7E08"/>
    <w:rsid w:val="008C407F"/>
    <w:rsid w:val="008C6899"/>
    <w:rsid w:val="008E1BFF"/>
    <w:rsid w:val="008F4166"/>
    <w:rsid w:val="008F68DF"/>
    <w:rsid w:val="008F7A48"/>
    <w:rsid w:val="008F7AE2"/>
    <w:rsid w:val="0090212D"/>
    <w:rsid w:val="00906616"/>
    <w:rsid w:val="00906E83"/>
    <w:rsid w:val="009077CF"/>
    <w:rsid w:val="00914927"/>
    <w:rsid w:val="009164BC"/>
    <w:rsid w:val="00920C20"/>
    <w:rsid w:val="00920DA2"/>
    <w:rsid w:val="0092731D"/>
    <w:rsid w:val="00937982"/>
    <w:rsid w:val="009525BB"/>
    <w:rsid w:val="0097237A"/>
    <w:rsid w:val="00975972"/>
    <w:rsid w:val="009865ED"/>
    <w:rsid w:val="009916B3"/>
    <w:rsid w:val="009B0345"/>
    <w:rsid w:val="009C40C3"/>
    <w:rsid w:val="009C4313"/>
    <w:rsid w:val="009C7392"/>
    <w:rsid w:val="009D61BB"/>
    <w:rsid w:val="009D7070"/>
    <w:rsid w:val="009E2CD8"/>
    <w:rsid w:val="00A10A8A"/>
    <w:rsid w:val="00A17D98"/>
    <w:rsid w:val="00A273BF"/>
    <w:rsid w:val="00A42C78"/>
    <w:rsid w:val="00A43F35"/>
    <w:rsid w:val="00A453FE"/>
    <w:rsid w:val="00A47E53"/>
    <w:rsid w:val="00A63424"/>
    <w:rsid w:val="00A87A05"/>
    <w:rsid w:val="00A91ECC"/>
    <w:rsid w:val="00AA059C"/>
    <w:rsid w:val="00AA09C4"/>
    <w:rsid w:val="00AA3116"/>
    <w:rsid w:val="00AA7478"/>
    <w:rsid w:val="00AB0C55"/>
    <w:rsid w:val="00AD214D"/>
    <w:rsid w:val="00AD7D75"/>
    <w:rsid w:val="00AE1D7B"/>
    <w:rsid w:val="00AF2FD3"/>
    <w:rsid w:val="00AF599B"/>
    <w:rsid w:val="00AF5D3E"/>
    <w:rsid w:val="00B008E3"/>
    <w:rsid w:val="00B2357A"/>
    <w:rsid w:val="00B25AFE"/>
    <w:rsid w:val="00B272F3"/>
    <w:rsid w:val="00B4380F"/>
    <w:rsid w:val="00B44A87"/>
    <w:rsid w:val="00B44F6C"/>
    <w:rsid w:val="00B74D70"/>
    <w:rsid w:val="00B82DC9"/>
    <w:rsid w:val="00B9298E"/>
    <w:rsid w:val="00B92B96"/>
    <w:rsid w:val="00B92F2F"/>
    <w:rsid w:val="00B94F6E"/>
    <w:rsid w:val="00BA40BC"/>
    <w:rsid w:val="00BA6F8A"/>
    <w:rsid w:val="00BB2057"/>
    <w:rsid w:val="00BB70B6"/>
    <w:rsid w:val="00BD07E9"/>
    <w:rsid w:val="00BD3E7E"/>
    <w:rsid w:val="00BE3328"/>
    <w:rsid w:val="00C003E3"/>
    <w:rsid w:val="00C0099F"/>
    <w:rsid w:val="00C03E5E"/>
    <w:rsid w:val="00C045D9"/>
    <w:rsid w:val="00C04D6A"/>
    <w:rsid w:val="00C1171B"/>
    <w:rsid w:val="00C120F9"/>
    <w:rsid w:val="00C34725"/>
    <w:rsid w:val="00C37801"/>
    <w:rsid w:val="00C37ECF"/>
    <w:rsid w:val="00C430C4"/>
    <w:rsid w:val="00C44FA6"/>
    <w:rsid w:val="00C5569D"/>
    <w:rsid w:val="00C75172"/>
    <w:rsid w:val="00C84F9F"/>
    <w:rsid w:val="00C90319"/>
    <w:rsid w:val="00C920E3"/>
    <w:rsid w:val="00C9391C"/>
    <w:rsid w:val="00CB0398"/>
    <w:rsid w:val="00CE1033"/>
    <w:rsid w:val="00CF6410"/>
    <w:rsid w:val="00D26637"/>
    <w:rsid w:val="00D32AE7"/>
    <w:rsid w:val="00D32B3E"/>
    <w:rsid w:val="00D4253E"/>
    <w:rsid w:val="00D45488"/>
    <w:rsid w:val="00D751AB"/>
    <w:rsid w:val="00D760A7"/>
    <w:rsid w:val="00DD1138"/>
    <w:rsid w:val="00DE66E3"/>
    <w:rsid w:val="00DF2D45"/>
    <w:rsid w:val="00DF7BD9"/>
    <w:rsid w:val="00E002AC"/>
    <w:rsid w:val="00E004EC"/>
    <w:rsid w:val="00E02ABC"/>
    <w:rsid w:val="00E0459D"/>
    <w:rsid w:val="00E04768"/>
    <w:rsid w:val="00E15D14"/>
    <w:rsid w:val="00E23617"/>
    <w:rsid w:val="00E24F12"/>
    <w:rsid w:val="00E33EA6"/>
    <w:rsid w:val="00E35807"/>
    <w:rsid w:val="00E36566"/>
    <w:rsid w:val="00E401B7"/>
    <w:rsid w:val="00E40E58"/>
    <w:rsid w:val="00E5773C"/>
    <w:rsid w:val="00E60089"/>
    <w:rsid w:val="00E62601"/>
    <w:rsid w:val="00E63E9C"/>
    <w:rsid w:val="00E71942"/>
    <w:rsid w:val="00E852F0"/>
    <w:rsid w:val="00E908AE"/>
    <w:rsid w:val="00E91A20"/>
    <w:rsid w:val="00EB138D"/>
    <w:rsid w:val="00EC0330"/>
    <w:rsid w:val="00EC21DA"/>
    <w:rsid w:val="00ED09DD"/>
    <w:rsid w:val="00ED3D13"/>
    <w:rsid w:val="00EE1270"/>
    <w:rsid w:val="00EE7A55"/>
    <w:rsid w:val="00F04792"/>
    <w:rsid w:val="00F10061"/>
    <w:rsid w:val="00F206C3"/>
    <w:rsid w:val="00F254F0"/>
    <w:rsid w:val="00F36F58"/>
    <w:rsid w:val="00F429C3"/>
    <w:rsid w:val="00F4324A"/>
    <w:rsid w:val="00F532C9"/>
    <w:rsid w:val="00F8138E"/>
    <w:rsid w:val="00F81CBC"/>
    <w:rsid w:val="00F873EE"/>
    <w:rsid w:val="00F94C45"/>
    <w:rsid w:val="00FA4BD7"/>
    <w:rsid w:val="00FA6585"/>
    <w:rsid w:val="00FD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DCA24F-4900-4E30-BBC0-4F2BB7B9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i/>
      <w:szCs w:val="20"/>
    </w:rPr>
  </w:style>
  <w:style w:type="paragraph" w:styleId="Heading2">
    <w:name w:val="heading 2"/>
    <w:basedOn w:val="Normal"/>
    <w:next w:val="Normal"/>
    <w:qFormat/>
    <w:pPr>
      <w:keepNext/>
      <w:outlineLvl w:val="1"/>
    </w:pPr>
    <w:rPr>
      <w:bCs/>
      <w:i/>
      <w:iCs/>
      <w:sz w:val="18"/>
      <w:szCs w:val="20"/>
    </w:rPr>
  </w:style>
  <w:style w:type="paragraph" w:styleId="Heading3">
    <w:name w:val="heading 3"/>
    <w:basedOn w:val="Normal"/>
    <w:next w:val="Normal"/>
    <w:qFormat/>
    <w:pPr>
      <w:keepNext/>
      <w:outlineLvl w:val="2"/>
    </w:pPr>
    <w:rPr>
      <w:b/>
      <w:i/>
      <w:iCs/>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360"/>
      </w:tabs>
      <w:ind w:left="360" w:hanging="360"/>
      <w:outlineLvl w:val="5"/>
    </w:pPr>
    <w:rPr>
      <w:rFonts w:cs="Arial"/>
      <w:b/>
      <w:sz w:val="20"/>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center"/>
      <w:outlineLvl w:val="7"/>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szCs w:val="20"/>
    </w:rPr>
  </w:style>
  <w:style w:type="paragraph" w:styleId="Subtitle">
    <w:name w:val="Subtitle"/>
    <w:basedOn w:val="Normal"/>
    <w:qFormat/>
    <w:pPr>
      <w:jc w:val="center"/>
      <w:outlineLvl w:val="0"/>
    </w:pPr>
    <w:rPr>
      <w:b/>
      <w:sz w:val="24"/>
      <w:szCs w:val="20"/>
    </w:rPr>
  </w:style>
  <w:style w:type="paragraph" w:styleId="BodyText">
    <w:name w:val="Body Text"/>
    <w:basedOn w:val="Normal"/>
    <w:semiHidden/>
    <w:rPr>
      <w:b/>
    </w:rPr>
  </w:style>
  <w:style w:type="paragraph" w:styleId="BodyText2">
    <w:name w:val="Body Text 2"/>
    <w:basedOn w:val="Normal"/>
    <w:semiHidden/>
    <w:rPr>
      <w:bCs/>
      <w:i/>
      <w:iCs/>
    </w:rPr>
  </w:style>
  <w:style w:type="paragraph" w:styleId="BodyText3">
    <w:name w:val="Body Text 3"/>
    <w:basedOn w:val="Normal"/>
    <w:semiHidden/>
    <w:rPr>
      <w:rFonts w:cs="Arial"/>
      <w:bCs/>
      <w:sz w:val="20"/>
    </w:rPr>
  </w:style>
  <w:style w:type="paragraph" w:styleId="BodyTextIndent">
    <w:name w:val="Body Text Indent"/>
    <w:basedOn w:val="Normal"/>
    <w:semiHidden/>
    <w:pPr>
      <w:ind w:left="360"/>
    </w:pPr>
    <w:rPr>
      <w:rFonts w:cs="Arial"/>
      <w:iCs/>
      <w:sz w:val="20"/>
    </w:rPr>
  </w:style>
  <w:style w:type="paragraph" w:styleId="BodyTextIndent2">
    <w:name w:val="Body Text Indent 2"/>
    <w:basedOn w:val="Normal"/>
    <w:semiHidden/>
    <w:pPr>
      <w:tabs>
        <w:tab w:val="left" w:pos="360"/>
      </w:tabs>
      <w:ind w:left="360" w:hanging="360"/>
      <w:jc w:val="right"/>
    </w:pPr>
    <w:rPr>
      <w:rFonts w:cs="Arial"/>
      <w:bCs/>
      <w:sz w:val="20"/>
    </w:rPr>
  </w:style>
  <w:style w:type="paragraph" w:styleId="BodyTextIndent3">
    <w:name w:val="Body Text Indent 3"/>
    <w:basedOn w:val="Normal"/>
    <w:semiHidden/>
    <w:pPr>
      <w:tabs>
        <w:tab w:val="left" w:pos="360"/>
      </w:tabs>
      <w:ind w:left="360" w:hanging="360"/>
    </w:pPr>
    <w:rPr>
      <w:rFonts w:cs="Arial"/>
      <w:b/>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Strong">
    <w:name w:val="Strong"/>
    <w:qFormat/>
    <w:rPr>
      <w:b/>
      <w:bCs/>
    </w:rPr>
  </w:style>
  <w:style w:type="paragraph" w:styleId="BalloonText">
    <w:name w:val="Balloon Text"/>
    <w:basedOn w:val="Normal"/>
    <w:link w:val="BalloonTextChar"/>
    <w:uiPriority w:val="99"/>
    <w:semiHidden/>
    <w:unhideWhenUsed/>
    <w:rsid w:val="00446B1A"/>
    <w:rPr>
      <w:rFonts w:ascii="Tahoma" w:hAnsi="Tahoma" w:cs="Tahoma"/>
      <w:sz w:val="16"/>
      <w:szCs w:val="16"/>
    </w:rPr>
  </w:style>
  <w:style w:type="character" w:customStyle="1" w:styleId="BalloonTextChar">
    <w:name w:val="Balloon Text Char"/>
    <w:link w:val="BalloonText"/>
    <w:uiPriority w:val="99"/>
    <w:semiHidden/>
    <w:rsid w:val="00446B1A"/>
    <w:rPr>
      <w:rFonts w:ascii="Tahoma" w:hAnsi="Tahoma" w:cs="Tahoma"/>
      <w:sz w:val="16"/>
      <w:szCs w:val="16"/>
    </w:rPr>
  </w:style>
  <w:style w:type="paragraph" w:customStyle="1" w:styleId="Normal2">
    <w:name w:val="Normal2"/>
    <w:rsid w:val="002F614E"/>
    <w:pPr>
      <w:spacing w:after="200"/>
    </w:pPr>
    <w:rPr>
      <w:rFonts w:ascii="Calibri" w:eastAsia="Calibri" w:hAnsi="Calibri" w:cs="Calibri"/>
      <w:color w:val="000000"/>
      <w:sz w:val="22"/>
      <w:szCs w:val="22"/>
    </w:rPr>
  </w:style>
  <w:style w:type="paragraph" w:styleId="ListParagraph">
    <w:name w:val="List Paragraph"/>
    <w:basedOn w:val="Normal"/>
    <w:uiPriority w:val="34"/>
    <w:qFormat/>
    <w:rsid w:val="00724B83"/>
    <w:pPr>
      <w:ind w:left="720"/>
      <w:contextualSpacing/>
    </w:pPr>
  </w:style>
  <w:style w:type="character" w:styleId="Hyperlink">
    <w:name w:val="Hyperlink"/>
    <w:basedOn w:val="DefaultParagraphFont"/>
    <w:uiPriority w:val="99"/>
    <w:unhideWhenUsed/>
    <w:rsid w:val="00C55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88590">
      <w:bodyDiv w:val="1"/>
      <w:marLeft w:val="0"/>
      <w:marRight w:val="0"/>
      <w:marTop w:val="0"/>
      <w:marBottom w:val="0"/>
      <w:divBdr>
        <w:top w:val="none" w:sz="0" w:space="0" w:color="auto"/>
        <w:left w:val="none" w:sz="0" w:space="0" w:color="auto"/>
        <w:bottom w:val="none" w:sz="0" w:space="0" w:color="auto"/>
        <w:right w:val="none" w:sz="0" w:space="0" w:color="auto"/>
      </w:divBdr>
    </w:div>
    <w:div w:id="877009708">
      <w:bodyDiv w:val="1"/>
      <w:marLeft w:val="0"/>
      <w:marRight w:val="0"/>
      <w:marTop w:val="0"/>
      <w:marBottom w:val="0"/>
      <w:divBdr>
        <w:top w:val="none" w:sz="0" w:space="0" w:color="auto"/>
        <w:left w:val="none" w:sz="0" w:space="0" w:color="auto"/>
        <w:bottom w:val="none" w:sz="0" w:space="0" w:color="auto"/>
        <w:right w:val="none" w:sz="0" w:space="0" w:color="auto"/>
      </w:divBdr>
    </w:div>
    <w:div w:id="1272474827">
      <w:bodyDiv w:val="1"/>
      <w:marLeft w:val="0"/>
      <w:marRight w:val="0"/>
      <w:marTop w:val="0"/>
      <w:marBottom w:val="0"/>
      <w:divBdr>
        <w:top w:val="none" w:sz="0" w:space="0" w:color="auto"/>
        <w:left w:val="none" w:sz="0" w:space="0" w:color="auto"/>
        <w:bottom w:val="none" w:sz="0" w:space="0" w:color="auto"/>
        <w:right w:val="none" w:sz="0" w:space="0" w:color="auto"/>
      </w:divBdr>
    </w:div>
    <w:div w:id="177663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B2C84-3E3C-4FAB-A749-A5BCE655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Agenda</vt:lpstr>
    </vt:vector>
  </TitlesOfParts>
  <Company>Microsoft</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subject/>
  <dc:creator>Chris Webster</dc:creator>
  <cp:keywords/>
  <cp:lastModifiedBy>Linda Conchi</cp:lastModifiedBy>
  <cp:revision>3</cp:revision>
  <cp:lastPrinted>2013-10-24T21:53:00Z</cp:lastPrinted>
  <dcterms:created xsi:type="dcterms:W3CDTF">2017-02-28T22:57:00Z</dcterms:created>
  <dcterms:modified xsi:type="dcterms:W3CDTF">2017-02-28T23:02:00Z</dcterms:modified>
</cp:coreProperties>
</file>