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DAE2" w14:textId="77777777" w:rsidR="00C120F9" w:rsidRPr="00350CD9" w:rsidRDefault="001A73F4" w:rsidP="001A73F4">
      <w:pPr>
        <w:pStyle w:val="Title"/>
        <w:tabs>
          <w:tab w:val="left" w:pos="1080"/>
          <w:tab w:val="left" w:pos="8640"/>
          <w:tab w:val="left" w:pos="10200"/>
          <w:tab w:val="left" w:leader="underscore" w:pos="14640"/>
        </w:tabs>
        <w:ind w:left="720"/>
        <w:outlineLvl w:val="0"/>
        <w:rPr>
          <w:rFonts w:asciiTheme="minorHAnsi" w:hAnsiTheme="minorHAnsi"/>
          <w:b w:val="0"/>
          <w:bCs/>
          <w:szCs w:val="24"/>
        </w:rPr>
      </w:pPr>
      <w:r>
        <w:rPr>
          <w:rFonts w:asciiTheme="minorHAnsi" w:hAnsiTheme="minorHAnsi"/>
          <w:b w:val="0"/>
          <w:bCs/>
          <w:noProof/>
          <w:szCs w:val="24"/>
        </w:rPr>
        <w:drawing>
          <wp:inline distT="0" distB="0" distL="0" distR="0" wp14:anchorId="64F8874A" wp14:editId="2D6B040A">
            <wp:extent cx="3686175" cy="8682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-1040x22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/>
                    <a:stretch/>
                  </pic:blipFill>
                  <pic:spPr bwMode="auto">
                    <a:xfrm>
                      <a:off x="0" y="0"/>
                      <a:ext cx="3742391" cy="881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EC3CE" w14:textId="77777777" w:rsidR="000E365F" w:rsidRPr="00350CD9" w:rsidRDefault="000E365F" w:rsidP="00350CD9">
      <w:pPr>
        <w:pStyle w:val="Title"/>
        <w:tabs>
          <w:tab w:val="left" w:pos="1080"/>
          <w:tab w:val="left" w:pos="8640"/>
          <w:tab w:val="left" w:pos="10440"/>
          <w:tab w:val="left" w:pos="13440"/>
          <w:tab w:val="left" w:leader="underscore" w:pos="14640"/>
        </w:tabs>
        <w:jc w:val="left"/>
        <w:outlineLvl w:val="0"/>
        <w:rPr>
          <w:rFonts w:asciiTheme="minorHAnsi" w:hAnsiTheme="minorHAnsi"/>
          <w:szCs w:val="24"/>
        </w:rPr>
      </w:pPr>
    </w:p>
    <w:p w14:paraId="368A760D" w14:textId="32921F42" w:rsidR="00674268" w:rsidRPr="0047336F" w:rsidRDefault="00F4035E" w:rsidP="0087319D">
      <w:pPr>
        <w:pStyle w:val="Title"/>
        <w:tabs>
          <w:tab w:val="left" w:pos="1080"/>
          <w:tab w:val="left" w:pos="8640"/>
          <w:tab w:val="left" w:pos="10200"/>
          <w:tab w:val="left" w:leader="underscore" w:pos="14640"/>
        </w:tabs>
        <w:outlineLvl w:val="0"/>
        <w:rPr>
          <w:rFonts w:asciiTheme="minorHAnsi" w:hAnsiTheme="minorHAnsi" w:cs="Tahoma"/>
          <w:spacing w:val="20"/>
          <w:szCs w:val="24"/>
        </w:rPr>
      </w:pPr>
      <w:r>
        <w:rPr>
          <w:rFonts w:asciiTheme="minorHAnsi" w:hAnsiTheme="minorHAnsi" w:cs="Tahoma"/>
          <w:spacing w:val="20"/>
          <w:szCs w:val="24"/>
        </w:rPr>
        <w:t>MINUTES</w:t>
      </w:r>
    </w:p>
    <w:p w14:paraId="78DF9DBF" w14:textId="2AC60743" w:rsidR="00574B7A" w:rsidRPr="0047336F" w:rsidRDefault="00EA0A2F" w:rsidP="0087319D">
      <w:pPr>
        <w:pStyle w:val="Title"/>
        <w:tabs>
          <w:tab w:val="left" w:pos="1080"/>
        </w:tabs>
        <w:outlineLvl w:val="0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Family Preservation and Support Services </w:t>
      </w:r>
      <w:r w:rsidRPr="0047336F">
        <w:rPr>
          <w:rFonts w:asciiTheme="minorHAnsi" w:hAnsiTheme="minorHAnsi" w:cs="Tahoma"/>
          <w:szCs w:val="24"/>
        </w:rPr>
        <w:t>Division</w:t>
      </w:r>
    </w:p>
    <w:p w14:paraId="35B39E1A" w14:textId="0A11587B" w:rsidR="00674268" w:rsidRDefault="00FC1EB4" w:rsidP="0087319D">
      <w:pPr>
        <w:pStyle w:val="Title"/>
        <w:tabs>
          <w:tab w:val="left" w:pos="1080"/>
        </w:tabs>
        <w:outlineLvl w:val="0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June 11</w:t>
      </w:r>
      <w:r w:rsidR="00B529B2">
        <w:rPr>
          <w:rFonts w:asciiTheme="minorHAnsi" w:hAnsiTheme="minorHAnsi" w:cs="Tahoma"/>
          <w:szCs w:val="24"/>
        </w:rPr>
        <w:t>,</w:t>
      </w:r>
      <w:r w:rsidR="00436AA6" w:rsidRPr="0047336F">
        <w:rPr>
          <w:rFonts w:asciiTheme="minorHAnsi" w:hAnsiTheme="minorHAnsi" w:cs="Tahoma"/>
          <w:szCs w:val="24"/>
        </w:rPr>
        <w:t xml:space="preserve"> 20</w:t>
      </w:r>
      <w:r w:rsidR="00F741BD">
        <w:rPr>
          <w:rFonts w:asciiTheme="minorHAnsi" w:hAnsiTheme="minorHAnsi" w:cs="Tahoma"/>
          <w:szCs w:val="24"/>
        </w:rPr>
        <w:t>20</w:t>
      </w:r>
    </w:p>
    <w:p w14:paraId="6618A832" w14:textId="4399A72A" w:rsidR="00EA0A2F" w:rsidRPr="0087319D" w:rsidRDefault="00FC1EB4" w:rsidP="00566F2B">
      <w:pPr>
        <w:pStyle w:val="Title"/>
        <w:tabs>
          <w:tab w:val="left" w:pos="1080"/>
        </w:tabs>
        <w:outlineLvl w:val="0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9</w:t>
      </w:r>
      <w:r w:rsidR="006951E6">
        <w:rPr>
          <w:rFonts w:asciiTheme="minorHAnsi" w:hAnsiTheme="minorHAnsi" w:cs="Tahoma"/>
          <w:szCs w:val="24"/>
        </w:rPr>
        <w:t xml:space="preserve">:00 to </w:t>
      </w:r>
      <w:r>
        <w:rPr>
          <w:rFonts w:asciiTheme="minorHAnsi" w:hAnsiTheme="minorHAnsi" w:cs="Tahoma"/>
          <w:szCs w:val="24"/>
        </w:rPr>
        <w:t>10:30 A</w:t>
      </w:r>
      <w:r w:rsidR="00C63E67">
        <w:rPr>
          <w:rFonts w:asciiTheme="minorHAnsi" w:hAnsiTheme="minorHAnsi" w:cs="Tahoma"/>
          <w:szCs w:val="24"/>
        </w:rPr>
        <w:t>M</w:t>
      </w:r>
      <w:r w:rsidR="00566F2B">
        <w:rPr>
          <w:rFonts w:asciiTheme="minorHAnsi" w:hAnsiTheme="minorHAnsi" w:cs="Tahoma"/>
          <w:szCs w:val="24"/>
        </w:rPr>
        <w:br/>
      </w:r>
    </w:p>
    <w:p w14:paraId="7F848215" w14:textId="77777777" w:rsidR="0084737B" w:rsidRDefault="0084737B" w:rsidP="0084737B">
      <w:pPr>
        <w:rPr>
          <w:rFonts w:asciiTheme="minorHAnsi" w:hAnsiTheme="minorHAnsi" w:cstheme="minorHAnsi"/>
          <w:b/>
          <w:bCs/>
          <w:color w:val="39404D"/>
          <w:sz w:val="24"/>
        </w:rPr>
      </w:pPr>
      <w:r>
        <w:rPr>
          <w:rFonts w:asciiTheme="minorHAnsi" w:hAnsiTheme="minorHAnsi" w:cstheme="minorHAnsi"/>
          <w:b/>
          <w:bCs/>
          <w:color w:val="39404D"/>
          <w:sz w:val="24"/>
        </w:rPr>
        <w:t>Conference Call Meeting</w:t>
      </w:r>
    </w:p>
    <w:p w14:paraId="197F6DFF" w14:textId="5CB104A3" w:rsidR="0084737B" w:rsidRDefault="0084737B" w:rsidP="0084737B">
      <w:pPr>
        <w:rPr>
          <w:rFonts w:ascii="Helvetica" w:hAnsi="Helvetica" w:cs="Helvetica"/>
          <w:b/>
          <w:bCs/>
          <w:color w:val="39404D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39404D"/>
          <w:sz w:val="24"/>
        </w:rPr>
        <w:t>Members attending:</w:t>
      </w:r>
      <w:r>
        <w:rPr>
          <w:rFonts w:asciiTheme="minorHAnsi" w:hAnsiTheme="minorHAnsi" w:cstheme="minorHAnsi"/>
          <w:bCs/>
          <w:color w:val="39404D"/>
          <w:sz w:val="24"/>
        </w:rPr>
        <w:t xml:space="preserve">  Carla Arnold, Charlotte Booth,</w:t>
      </w:r>
      <w:r w:rsidRPr="005438CF">
        <w:rPr>
          <w:rFonts w:asciiTheme="minorHAnsi" w:hAnsiTheme="minorHAnsi" w:cstheme="minorHAnsi"/>
          <w:bCs/>
          <w:color w:val="39404D"/>
          <w:sz w:val="24"/>
        </w:rPr>
        <w:t xml:space="preserve"> </w:t>
      </w:r>
      <w:r>
        <w:rPr>
          <w:rFonts w:asciiTheme="minorHAnsi" w:hAnsiTheme="minorHAnsi" w:cstheme="minorHAnsi"/>
          <w:bCs/>
          <w:color w:val="39404D"/>
          <w:sz w:val="24"/>
        </w:rPr>
        <w:t>Karla Cain, Esther Patrick, Amanda Farmer,</w:t>
      </w:r>
      <w:r w:rsidRPr="001B59FB">
        <w:rPr>
          <w:rFonts w:asciiTheme="minorHAnsi" w:hAnsiTheme="minorHAnsi" w:cstheme="minorHAnsi"/>
          <w:bCs/>
          <w:color w:val="39404D"/>
          <w:sz w:val="24"/>
        </w:rPr>
        <w:t xml:space="preserve"> </w:t>
      </w:r>
      <w:r w:rsidR="00520B22">
        <w:rPr>
          <w:rFonts w:asciiTheme="minorHAnsi" w:hAnsiTheme="minorHAnsi" w:cstheme="minorHAnsi"/>
          <w:bCs/>
          <w:color w:val="39404D"/>
          <w:sz w:val="24"/>
        </w:rPr>
        <w:t xml:space="preserve">Sandra Gorman-Brown , </w:t>
      </w:r>
      <w:r>
        <w:rPr>
          <w:rFonts w:asciiTheme="minorHAnsi" w:hAnsiTheme="minorHAnsi" w:cstheme="minorHAnsi"/>
          <w:bCs/>
          <w:color w:val="39404D"/>
          <w:sz w:val="24"/>
        </w:rPr>
        <w:t xml:space="preserve">Debra Hatton, Molly Phillips, </w:t>
      </w:r>
      <w:r w:rsidR="00520B22">
        <w:rPr>
          <w:rFonts w:asciiTheme="minorHAnsi" w:hAnsiTheme="minorHAnsi" w:cstheme="minorHAnsi"/>
          <w:bCs/>
          <w:color w:val="39404D"/>
          <w:sz w:val="24"/>
        </w:rPr>
        <w:t xml:space="preserve">and </w:t>
      </w:r>
      <w:r>
        <w:rPr>
          <w:rFonts w:asciiTheme="minorHAnsi" w:hAnsiTheme="minorHAnsi" w:cstheme="minorHAnsi"/>
          <w:bCs/>
          <w:color w:val="39404D"/>
          <w:sz w:val="24"/>
        </w:rPr>
        <w:t>Kerry Ann Shaughnessy</w:t>
      </w:r>
    </w:p>
    <w:p w14:paraId="72D6D5E5" w14:textId="5C3E8EA4" w:rsidR="00530C68" w:rsidRDefault="0084737B" w:rsidP="0084737B">
      <w:pPr>
        <w:rPr>
          <w:rFonts w:asciiTheme="minorHAnsi" w:hAnsiTheme="minorHAnsi"/>
          <w:b/>
          <w:bCs/>
          <w:color w:val="000000" w:themeColor="text1"/>
          <w:sz w:val="24"/>
        </w:rPr>
      </w:pPr>
      <w:r>
        <w:rPr>
          <w:rFonts w:asciiTheme="minorHAnsi" w:hAnsiTheme="minorHAnsi"/>
          <w:b/>
          <w:bCs/>
          <w:color w:val="000000" w:themeColor="text1"/>
          <w:sz w:val="24"/>
        </w:rPr>
        <w:t xml:space="preserve">Staff attending: </w:t>
      </w:r>
      <w:r>
        <w:rPr>
          <w:rFonts w:asciiTheme="minorHAnsi" w:hAnsiTheme="minorHAnsi"/>
          <w:bCs/>
          <w:color w:val="000000" w:themeColor="text1"/>
          <w:sz w:val="24"/>
        </w:rPr>
        <w:t>Jill May</w:t>
      </w:r>
      <w:r w:rsidR="00520B22">
        <w:rPr>
          <w:rFonts w:asciiTheme="minorHAnsi" w:hAnsiTheme="minorHAnsi"/>
          <w:bCs/>
          <w:color w:val="000000" w:themeColor="text1"/>
          <w:sz w:val="24"/>
        </w:rPr>
        <w:t xml:space="preserve"> and Linda Conchi</w:t>
      </w:r>
    </w:p>
    <w:p w14:paraId="254EFD6F" w14:textId="77777777" w:rsidR="00D86825" w:rsidRPr="0087319D" w:rsidRDefault="00D86825" w:rsidP="00350CD9">
      <w:pPr>
        <w:tabs>
          <w:tab w:val="left" w:pos="1080"/>
        </w:tabs>
        <w:jc w:val="center"/>
        <w:rPr>
          <w:rFonts w:asciiTheme="minorHAnsi" w:hAnsiTheme="minorHAnsi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130"/>
        <w:gridCol w:w="4585"/>
      </w:tblGrid>
      <w:tr w:rsidR="00EE7A55" w:rsidRPr="00350CD9" w14:paraId="0254AD13" w14:textId="77777777" w:rsidTr="009933AC">
        <w:trPr>
          <w:cantSplit/>
          <w:trHeight w:val="70"/>
        </w:trPr>
        <w:tc>
          <w:tcPr>
            <w:tcW w:w="1624" w:type="pct"/>
            <w:shd w:val="clear" w:color="auto" w:fill="D9D9D9"/>
          </w:tcPr>
          <w:p w14:paraId="625D5640" w14:textId="77777777" w:rsidR="00EE7A55" w:rsidRPr="00350CD9" w:rsidRDefault="00EE7A55" w:rsidP="00797FDC">
            <w:pPr>
              <w:pStyle w:val="Heading6"/>
              <w:tabs>
                <w:tab w:val="left" w:pos="1080"/>
              </w:tabs>
              <w:rPr>
                <w:rFonts w:asciiTheme="minorHAnsi" w:hAnsiTheme="minorHAnsi" w:cs="Tahoma"/>
                <w:b w:val="0"/>
                <w:sz w:val="24"/>
              </w:rPr>
            </w:pPr>
            <w:r w:rsidRPr="00350CD9">
              <w:rPr>
                <w:rFonts w:asciiTheme="minorHAnsi" w:hAnsiTheme="minorHAnsi" w:cs="Tahoma"/>
                <w:sz w:val="24"/>
              </w:rPr>
              <w:t xml:space="preserve">Agenda Item </w:t>
            </w:r>
          </w:p>
        </w:tc>
        <w:tc>
          <w:tcPr>
            <w:tcW w:w="1782" w:type="pct"/>
            <w:shd w:val="clear" w:color="auto" w:fill="D9D9D9"/>
          </w:tcPr>
          <w:p w14:paraId="31C2C7AB" w14:textId="77777777" w:rsidR="00EE7A55" w:rsidRPr="00350CD9" w:rsidRDefault="00EE7A55" w:rsidP="00350CD9">
            <w:pPr>
              <w:tabs>
                <w:tab w:val="left" w:pos="1080"/>
              </w:tabs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50CD9">
              <w:rPr>
                <w:rFonts w:asciiTheme="minorHAnsi" w:hAnsiTheme="minorHAnsi" w:cs="Tahoma"/>
                <w:b/>
                <w:sz w:val="24"/>
              </w:rPr>
              <w:t>Discussion</w:t>
            </w:r>
          </w:p>
        </w:tc>
        <w:tc>
          <w:tcPr>
            <w:tcW w:w="1593" w:type="pct"/>
            <w:shd w:val="clear" w:color="auto" w:fill="D9D9D9"/>
          </w:tcPr>
          <w:p w14:paraId="1872AC9C" w14:textId="77777777" w:rsidR="00EE7A55" w:rsidRPr="00350CD9" w:rsidRDefault="00EE7A55" w:rsidP="00350CD9">
            <w:pPr>
              <w:tabs>
                <w:tab w:val="left" w:pos="1080"/>
              </w:tabs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50CD9">
              <w:rPr>
                <w:rFonts w:asciiTheme="minorHAnsi" w:hAnsiTheme="minorHAnsi" w:cs="Tahoma"/>
                <w:b/>
                <w:sz w:val="24"/>
              </w:rPr>
              <w:t>Decisions</w:t>
            </w:r>
          </w:p>
        </w:tc>
      </w:tr>
      <w:tr w:rsidR="00EE7A55" w:rsidRPr="00C41B7C" w14:paraId="3714207A" w14:textId="77777777" w:rsidTr="009933AC">
        <w:trPr>
          <w:cantSplit/>
          <w:trHeight w:val="720"/>
        </w:trPr>
        <w:tc>
          <w:tcPr>
            <w:tcW w:w="1624" w:type="pct"/>
          </w:tcPr>
          <w:p w14:paraId="05806190" w14:textId="6C443BBA" w:rsidR="000B3F80" w:rsidRPr="00C41B7C" w:rsidRDefault="00806A3E" w:rsidP="00A43ED4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spacing w:before="60" w:after="120"/>
              <w:ind w:left="517"/>
              <w:rPr>
                <w:rFonts w:asciiTheme="minorHAnsi" w:hAnsiTheme="minorHAnsi" w:cs="Tahoma"/>
                <w:b/>
                <w:sz w:val="24"/>
              </w:rPr>
            </w:pPr>
            <w:r w:rsidRPr="00C41B7C">
              <w:rPr>
                <w:rFonts w:asciiTheme="minorHAnsi" w:hAnsiTheme="minorHAnsi" w:cs="Tahoma"/>
                <w:b/>
                <w:sz w:val="24"/>
              </w:rPr>
              <w:t xml:space="preserve">Call to order and </w:t>
            </w:r>
            <w:r w:rsidR="00FC1EB4">
              <w:rPr>
                <w:rFonts w:asciiTheme="minorHAnsi" w:hAnsiTheme="minorHAnsi" w:cs="Tahoma"/>
                <w:b/>
                <w:sz w:val="24"/>
              </w:rPr>
              <w:t>May</w:t>
            </w:r>
            <w:r w:rsidR="00EB038A">
              <w:rPr>
                <w:rFonts w:asciiTheme="minorHAnsi" w:hAnsiTheme="minorHAnsi" w:cs="Tahoma"/>
                <w:b/>
                <w:sz w:val="24"/>
              </w:rPr>
              <w:t xml:space="preserve"> </w:t>
            </w:r>
            <w:r w:rsidRPr="00C41B7C">
              <w:rPr>
                <w:rFonts w:asciiTheme="minorHAnsi" w:hAnsiTheme="minorHAnsi" w:cs="Tahoma"/>
                <w:b/>
                <w:sz w:val="24"/>
              </w:rPr>
              <w:t>minutes</w:t>
            </w:r>
          </w:p>
        </w:tc>
        <w:tc>
          <w:tcPr>
            <w:tcW w:w="1782" w:type="pct"/>
          </w:tcPr>
          <w:p w14:paraId="292B7283" w14:textId="4A141E62" w:rsidR="00EE7A55" w:rsidRPr="00C41B7C" w:rsidRDefault="00EE7A55" w:rsidP="00B243A1">
            <w:pPr>
              <w:tabs>
                <w:tab w:val="left" w:pos="1080"/>
              </w:tabs>
              <w:rPr>
                <w:rFonts w:asciiTheme="minorHAnsi" w:hAnsiTheme="minorHAnsi" w:cs="Tahoma"/>
                <w:iCs/>
                <w:sz w:val="24"/>
              </w:rPr>
            </w:pPr>
          </w:p>
        </w:tc>
        <w:tc>
          <w:tcPr>
            <w:tcW w:w="1593" w:type="pct"/>
          </w:tcPr>
          <w:p w14:paraId="50D7256E" w14:textId="68C3CCDE" w:rsidR="00EE7A55" w:rsidRDefault="0084737B" w:rsidP="00350CD9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iCs/>
                <w:sz w:val="24"/>
              </w:rPr>
            </w:pPr>
            <w:r>
              <w:rPr>
                <w:rFonts w:asciiTheme="minorHAnsi" w:hAnsiTheme="minorHAnsi" w:cs="Tahoma"/>
                <w:iCs/>
                <w:sz w:val="24"/>
              </w:rPr>
              <w:t>The minutes were approved as written.</w:t>
            </w:r>
          </w:p>
          <w:p w14:paraId="02D4C19C" w14:textId="1BB383E2" w:rsidR="0084737B" w:rsidRPr="00C41B7C" w:rsidRDefault="0084737B" w:rsidP="00350CD9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iCs/>
                <w:sz w:val="24"/>
              </w:rPr>
            </w:pPr>
          </w:p>
        </w:tc>
      </w:tr>
      <w:tr w:rsidR="007608E3" w:rsidRPr="00C41B7C" w14:paraId="0E353248" w14:textId="77777777" w:rsidTr="009933AC">
        <w:tblPrEx>
          <w:tblCellMar>
            <w:left w:w="115" w:type="dxa"/>
            <w:right w:w="115" w:type="dxa"/>
          </w:tblCellMar>
        </w:tblPrEx>
        <w:tc>
          <w:tcPr>
            <w:tcW w:w="1624" w:type="pct"/>
          </w:tcPr>
          <w:p w14:paraId="23F2491E" w14:textId="4F37D9D2" w:rsidR="00A43ED4" w:rsidRDefault="00FC1EB4" w:rsidP="00A43ED4">
            <w:pPr>
              <w:pStyle w:val="BodyTextIndent3"/>
              <w:numPr>
                <w:ilvl w:val="0"/>
                <w:numId w:val="1"/>
              </w:numPr>
              <w:tabs>
                <w:tab w:val="clear" w:pos="360"/>
                <w:tab w:val="left" w:pos="1080"/>
              </w:tabs>
              <w:spacing w:before="60" w:after="120"/>
              <w:ind w:left="517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 xml:space="preserve">Enhancing the training and QA for </w:t>
            </w:r>
            <w:r w:rsidR="00F62497">
              <w:rPr>
                <w:rFonts w:asciiTheme="minorHAnsi" w:hAnsiTheme="minorHAnsi" w:cs="Tahoma"/>
                <w:sz w:val="24"/>
              </w:rPr>
              <w:t>the EBPs</w:t>
            </w:r>
          </w:p>
          <w:p w14:paraId="2CAC25A2" w14:textId="77777777" w:rsidR="00520B22" w:rsidRDefault="00520B22" w:rsidP="00520B22">
            <w:pPr>
              <w:pStyle w:val="BodyTextIndent3"/>
              <w:tabs>
                <w:tab w:val="clear" w:pos="360"/>
                <w:tab w:val="left" w:pos="1080"/>
              </w:tabs>
              <w:spacing w:before="60" w:after="120"/>
              <w:ind w:left="517" w:firstLine="0"/>
              <w:rPr>
                <w:rFonts w:asciiTheme="minorHAnsi" w:hAnsiTheme="minorHAnsi" w:cs="Tahoma"/>
                <w:sz w:val="24"/>
              </w:rPr>
            </w:pPr>
          </w:p>
          <w:p w14:paraId="739C9628" w14:textId="40B57C0D" w:rsidR="00C0384E" w:rsidRPr="00A43ED4" w:rsidRDefault="00C0384E" w:rsidP="00A43ED4">
            <w:pPr>
              <w:pStyle w:val="BodyTextIndent3"/>
              <w:numPr>
                <w:ilvl w:val="0"/>
                <w:numId w:val="1"/>
              </w:numPr>
              <w:tabs>
                <w:tab w:val="clear" w:pos="360"/>
                <w:tab w:val="left" w:pos="1080"/>
              </w:tabs>
              <w:spacing w:before="60" w:after="120"/>
              <w:ind w:left="517"/>
              <w:rPr>
                <w:rFonts w:asciiTheme="minorHAnsi" w:hAnsiTheme="minorHAnsi" w:cs="Tahoma"/>
                <w:sz w:val="24"/>
              </w:rPr>
            </w:pPr>
            <w:r w:rsidRPr="00A43ED4">
              <w:rPr>
                <w:rFonts w:asciiTheme="minorHAnsi" w:hAnsiTheme="minorHAnsi" w:cs="Tahoma"/>
                <w:sz w:val="24"/>
              </w:rPr>
              <w:t>PCIT conference requirement</w:t>
            </w:r>
          </w:p>
          <w:p w14:paraId="3CA81F02" w14:textId="388B0623" w:rsidR="00B402EB" w:rsidRPr="00773864" w:rsidRDefault="00B402EB" w:rsidP="00A43ED4">
            <w:pPr>
              <w:pStyle w:val="BodyTextIndent3"/>
              <w:tabs>
                <w:tab w:val="clear" w:pos="360"/>
                <w:tab w:val="left" w:pos="1080"/>
              </w:tabs>
              <w:spacing w:before="60" w:after="120"/>
              <w:ind w:left="517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782" w:type="pct"/>
          </w:tcPr>
          <w:p w14:paraId="2086572F" w14:textId="1D3901F7" w:rsidR="00BC220F" w:rsidRDefault="00520B22" w:rsidP="00B529B2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Notice has gone out regarding</w:t>
            </w:r>
            <w:r w:rsidR="0084737B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a Triple P training 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this summer. No notice is out yet, but there will also</w:t>
            </w:r>
            <w:r w:rsidR="00BC220F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be an IY and PFR training sometime this summer. </w:t>
            </w:r>
          </w:p>
          <w:p w14:paraId="18BA6047" w14:textId="7F287C5C" w:rsidR="00BC220F" w:rsidRDefault="00BC220F" w:rsidP="00520B22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Charlotte asked the group if they heard from Naomi Perry to sign-up for her listserv. There will be a speaker series, three online trainings. </w:t>
            </w:r>
            <w:r w:rsidR="00520B22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These will meet the contracted QA requirement to attend a conference every other year. </w:t>
            </w:r>
          </w:p>
        </w:tc>
        <w:tc>
          <w:tcPr>
            <w:tcW w:w="1593" w:type="pct"/>
          </w:tcPr>
          <w:p w14:paraId="410C4162" w14:textId="51605DCE" w:rsidR="007608E3" w:rsidRPr="0084737B" w:rsidRDefault="0084737B" w:rsidP="0084737B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Let Charlotte </w:t>
            </w:r>
            <w:r w:rsidR="00BC220F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or Jill </w:t>
            </w: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know </w:t>
            </w:r>
            <w:r w:rsidR="00BC220F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if you have issues signing people up.</w:t>
            </w:r>
          </w:p>
        </w:tc>
      </w:tr>
      <w:tr w:rsidR="00B529B2" w:rsidRPr="00C41B7C" w14:paraId="465616AA" w14:textId="77777777" w:rsidTr="009933AC">
        <w:tblPrEx>
          <w:tblCellMar>
            <w:left w:w="115" w:type="dxa"/>
            <w:right w:w="115" w:type="dxa"/>
          </w:tblCellMar>
        </w:tblPrEx>
        <w:tc>
          <w:tcPr>
            <w:tcW w:w="1624" w:type="pct"/>
          </w:tcPr>
          <w:p w14:paraId="399D22AA" w14:textId="45AA8EF1" w:rsidR="00B402EB" w:rsidRDefault="00B402EB" w:rsidP="00A43ED4">
            <w:pPr>
              <w:pStyle w:val="BodyTextIndent3"/>
              <w:numPr>
                <w:ilvl w:val="0"/>
                <w:numId w:val="1"/>
              </w:numPr>
              <w:tabs>
                <w:tab w:val="clear" w:pos="360"/>
                <w:tab w:val="left" w:pos="1080"/>
              </w:tabs>
              <w:spacing w:before="60" w:after="120"/>
              <w:ind w:left="517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>Executive Director Update</w:t>
            </w:r>
          </w:p>
          <w:p w14:paraId="6B33F940" w14:textId="0EFEA750" w:rsidR="00B402EB" w:rsidRDefault="00C0384E" w:rsidP="00A43ED4">
            <w:pPr>
              <w:pStyle w:val="BodyTextIndent3"/>
              <w:tabs>
                <w:tab w:val="clear" w:pos="360"/>
                <w:tab w:val="left" w:pos="1080"/>
              </w:tabs>
              <w:spacing w:before="60" w:after="120"/>
              <w:ind w:left="1057" w:hanging="540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 xml:space="preserve">Group </w:t>
            </w:r>
            <w:r w:rsidR="00530C68">
              <w:rPr>
                <w:rFonts w:asciiTheme="minorHAnsi" w:hAnsiTheme="minorHAnsi" w:cs="Tahoma"/>
                <w:sz w:val="24"/>
              </w:rPr>
              <w:t>p</w:t>
            </w:r>
            <w:r w:rsidR="00FC1EB4">
              <w:rPr>
                <w:rFonts w:asciiTheme="minorHAnsi" w:hAnsiTheme="minorHAnsi" w:cs="Tahoma"/>
                <w:sz w:val="24"/>
              </w:rPr>
              <w:t xml:space="preserve">rocess </w:t>
            </w:r>
          </w:p>
        </w:tc>
        <w:tc>
          <w:tcPr>
            <w:tcW w:w="1782" w:type="pct"/>
          </w:tcPr>
          <w:p w14:paraId="43EE0A81" w14:textId="2E8DE234" w:rsidR="00B529B2" w:rsidRDefault="00AE40A3" w:rsidP="00520B22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Jill reviewed how WACF advocates for its members. Any </w:t>
            </w:r>
            <w:r w:rsidR="00520B22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documents</w:t>
            </w:r>
            <w:r w:rsidR="009F0FC1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to 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DCYF leadership, the Governor’s office or legislators will only be done with the group’s approval. </w:t>
            </w:r>
            <w:r w:rsidR="00A901C7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Members should feel like these meetings are a safe place to discuss issues.</w:t>
            </w:r>
            <w:r w:rsidR="004F0A05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It was suggested that there should </w:t>
            </w:r>
            <w:r w:rsidR="004F0A05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be an agreement created about working collaboratively, confidentiality</w:t>
            </w:r>
            <w:r w:rsidR="00520B22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,</w:t>
            </w:r>
            <w:r w:rsidR="004F0A05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 and how we treat each other. </w:t>
            </w:r>
          </w:p>
        </w:tc>
        <w:tc>
          <w:tcPr>
            <w:tcW w:w="1593" w:type="pct"/>
          </w:tcPr>
          <w:p w14:paraId="0BF99789" w14:textId="0955E5A2" w:rsidR="00B529B2" w:rsidRDefault="00AE40A3" w:rsidP="00AE40A3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Jill asked that if your agency needs to advocate on behalf of yourselves to give </w:t>
            </w:r>
            <w:r w:rsidR="009933AC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her</w:t>
            </w: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 a heads up.</w:t>
            </w:r>
          </w:p>
          <w:p w14:paraId="38A548D6" w14:textId="77777777" w:rsidR="009F0FC1" w:rsidRDefault="009F0FC1" w:rsidP="00AE40A3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</w:p>
          <w:p w14:paraId="50F9BF78" w14:textId="77777777" w:rsidR="00632A0F" w:rsidRDefault="00632A0F" w:rsidP="00AE40A3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</w:p>
          <w:p w14:paraId="1E15D341" w14:textId="54408C0E" w:rsidR="009F0FC1" w:rsidRPr="00AE40A3" w:rsidRDefault="00A901C7" w:rsidP="00520B22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Jill, Charlotte and Sandra will put together a </w:t>
            </w:r>
            <w:r w:rsidR="00520B22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draft </w:t>
            </w: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agre</w:t>
            </w:r>
            <w:r w:rsidR="004F0A05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e</w:t>
            </w: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ment and present to the </w:t>
            </w:r>
            <w:r w:rsidR="004F0A05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entire group for approval. </w:t>
            </w:r>
          </w:p>
        </w:tc>
      </w:tr>
      <w:tr w:rsidR="000F094F" w:rsidRPr="00C41B7C" w14:paraId="5A800439" w14:textId="77777777" w:rsidTr="009933AC">
        <w:tblPrEx>
          <w:tblCellMar>
            <w:left w:w="115" w:type="dxa"/>
            <w:right w:w="115" w:type="dxa"/>
          </w:tblCellMar>
        </w:tblPrEx>
        <w:tc>
          <w:tcPr>
            <w:tcW w:w="1624" w:type="pct"/>
          </w:tcPr>
          <w:p w14:paraId="63C185CB" w14:textId="462AA342" w:rsidR="000F094F" w:rsidRDefault="000F094F" w:rsidP="00A43ED4">
            <w:pPr>
              <w:pStyle w:val="BodyTextIndent3"/>
              <w:numPr>
                <w:ilvl w:val="0"/>
                <w:numId w:val="1"/>
              </w:numPr>
              <w:tabs>
                <w:tab w:val="clear" w:pos="360"/>
                <w:tab w:val="left" w:pos="1080"/>
              </w:tabs>
              <w:spacing w:before="60" w:after="120"/>
              <w:ind w:left="517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lastRenderedPageBreak/>
              <w:t>Return to in-home sessions in July</w:t>
            </w:r>
          </w:p>
        </w:tc>
        <w:tc>
          <w:tcPr>
            <w:tcW w:w="1782" w:type="pct"/>
          </w:tcPr>
          <w:p w14:paraId="1236B3A9" w14:textId="35C9B84B" w:rsidR="000F094F" w:rsidRDefault="002972E4" w:rsidP="00520B22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Taku’s thought is that we would begin to transition to in</w:t>
            </w:r>
            <w:r w:rsidR="003F54B0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-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person </w:t>
            </w:r>
            <w:r w:rsidR="003F54B0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in-home 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services on July 1</w:t>
            </w:r>
            <w:r w:rsidRPr="002972E4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vertAlign w:val="superscript"/>
              </w:rPr>
              <w:t>st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.  However, that would depend on what phase </w:t>
            </w:r>
            <w:r w:rsidR="00520B22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a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county is in</w:t>
            </w:r>
            <w:r w:rsidR="003F54B0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. Additionally, if anyone answered affirmatively to any of the COVID screening questions you would not do an in-person visit. Telehealth would transition to being the exception rather than </w:t>
            </w:r>
            <w:r w:rsidR="009933AC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t</w:t>
            </w:r>
            <w:r w:rsidR="003F54B0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he rule. There is no decision at this point though. The question remains </w:t>
            </w:r>
            <w:r w:rsidR="00520B22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of </w:t>
            </w:r>
            <w:r w:rsidR="003F54B0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how long to do Telehealth with </w:t>
            </w:r>
            <w:r w:rsidR="00520B22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clients who</w:t>
            </w:r>
            <w:r w:rsidR="003F54B0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were </w:t>
            </w:r>
            <w:r w:rsidR="009933AC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using it </w:t>
            </w:r>
            <w:r w:rsidR="003F54B0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prior to July 1</w:t>
            </w:r>
            <w:r w:rsidR="003F54B0" w:rsidRPr="003F54B0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vertAlign w:val="superscript"/>
              </w:rPr>
              <w:t>st</w:t>
            </w:r>
            <w:r w:rsidR="003F54B0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. </w:t>
            </w:r>
          </w:p>
        </w:tc>
        <w:tc>
          <w:tcPr>
            <w:tcW w:w="1593" w:type="pct"/>
          </w:tcPr>
          <w:p w14:paraId="579717FC" w14:textId="77777777" w:rsidR="000F094F" w:rsidRPr="004F27C8" w:rsidRDefault="000F094F" w:rsidP="00EA0A2F">
            <w:pPr>
              <w:pStyle w:val="ListParagraph"/>
              <w:tabs>
                <w:tab w:val="left" w:pos="1080"/>
              </w:tabs>
              <w:ind w:left="360"/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</w:p>
        </w:tc>
      </w:tr>
      <w:tr w:rsidR="003800E6" w:rsidRPr="00C41B7C" w14:paraId="5FFC2605" w14:textId="77777777" w:rsidTr="009933AC">
        <w:tblPrEx>
          <w:tblCellMar>
            <w:left w:w="115" w:type="dxa"/>
            <w:right w:w="115" w:type="dxa"/>
          </w:tblCellMar>
        </w:tblPrEx>
        <w:tc>
          <w:tcPr>
            <w:tcW w:w="1624" w:type="pct"/>
          </w:tcPr>
          <w:p w14:paraId="1AD6AE0C" w14:textId="2764C6BB" w:rsidR="003800E6" w:rsidRDefault="000F094F" w:rsidP="00A43ED4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517"/>
              <w:rPr>
                <w:rFonts w:asciiTheme="minorHAnsi" w:hAnsiTheme="minorHAnsi" w:cs="Tahoma"/>
                <w:b/>
                <w:sz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DCYF proposed budget cuts</w:t>
            </w:r>
            <w:r w:rsidR="00FC1EB4">
              <w:rPr>
                <w:rFonts w:asciiTheme="minorHAnsi" w:hAnsiTheme="minorHAnsi" w:cs="Tahoma"/>
                <w:b/>
                <w:sz w:val="24"/>
              </w:rPr>
              <w:t xml:space="preserve"> </w:t>
            </w:r>
          </w:p>
        </w:tc>
        <w:tc>
          <w:tcPr>
            <w:tcW w:w="1782" w:type="pct"/>
          </w:tcPr>
          <w:p w14:paraId="38DFB1A4" w14:textId="76A65FA7" w:rsidR="003800E6" w:rsidRDefault="004F0A05" w:rsidP="00520B22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The in-home travel rate </w:t>
            </w:r>
            <w:r w:rsidR="009933AC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(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new money</w:t>
            </w:r>
            <w:r w:rsidR="009933AC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)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is being put up as a possible cut. </w:t>
            </w:r>
            <w:r w:rsidR="00520B22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In addition, t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he in-home travel rate </w:t>
            </w:r>
            <w:r w:rsidR="00520B22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increase granted in 2017 is also proposed to be cut.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What</w:t>
            </w:r>
            <w:r w:rsidR="00A43ED4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in-home providers could charge for time spent travelling would drop to $32.50</w:t>
            </w:r>
            <w:r w:rsidR="00520B22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an hour</w:t>
            </w:r>
            <w:r w:rsidR="00A43ED4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.</w:t>
            </w:r>
          </w:p>
        </w:tc>
        <w:tc>
          <w:tcPr>
            <w:tcW w:w="1593" w:type="pct"/>
          </w:tcPr>
          <w:p w14:paraId="78AEABA7" w14:textId="1514C92C" w:rsidR="003800E6" w:rsidRPr="004F0A05" w:rsidRDefault="00A43ED4" w:rsidP="00520B22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Jill requested that members send her a </w:t>
            </w:r>
            <w:r w:rsidR="00520B22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message about</w:t>
            </w: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 the </w:t>
            </w:r>
            <w:r w:rsidR="00520B22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anticipated impact of these cuts</w:t>
            </w: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 to </w:t>
            </w:r>
            <w:r w:rsidR="00520B22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their</w:t>
            </w: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 agency. </w:t>
            </w:r>
          </w:p>
        </w:tc>
      </w:tr>
      <w:tr w:rsidR="00B402EB" w:rsidRPr="00C41B7C" w14:paraId="7F9E7E9F" w14:textId="77777777" w:rsidTr="009933AC">
        <w:tblPrEx>
          <w:tblCellMar>
            <w:left w:w="115" w:type="dxa"/>
            <w:right w:w="115" w:type="dxa"/>
          </w:tblCellMar>
        </w:tblPrEx>
        <w:tc>
          <w:tcPr>
            <w:tcW w:w="1624" w:type="pct"/>
          </w:tcPr>
          <w:p w14:paraId="2CB3C25D" w14:textId="13C0C916" w:rsidR="00B402EB" w:rsidRDefault="00C0384E" w:rsidP="00A43ED4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517"/>
              <w:rPr>
                <w:rFonts w:asciiTheme="minorHAnsi" w:hAnsiTheme="minorHAnsi" w:cs="Tahoma"/>
                <w:b/>
                <w:sz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 xml:space="preserve">Recommendation  to Taku re payment system </w:t>
            </w:r>
          </w:p>
        </w:tc>
        <w:tc>
          <w:tcPr>
            <w:tcW w:w="1782" w:type="pct"/>
          </w:tcPr>
          <w:p w14:paraId="72CDA8D7" w14:textId="01BB4723" w:rsidR="000D3920" w:rsidRDefault="003F54B0" w:rsidP="00371A87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Taku said on the call that as providers go back to fee for service, there would probably be a month that providers would have the option to continue to accept the retainer payment</w:t>
            </w:r>
            <w:r w:rsidR="009933AC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,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or</w:t>
            </w:r>
            <w:r w:rsidR="009933AC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,</w:t>
            </w: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 xml:space="preserve"> if the fee for service billing is above that, to bill for fee for service.</w:t>
            </w:r>
          </w:p>
          <w:p w14:paraId="0C765471" w14:textId="77777777" w:rsidR="0087319D" w:rsidRPr="0087319D" w:rsidRDefault="0087319D" w:rsidP="00371A87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bCs/>
                <w:iCs/>
                <w:color w:val="000000" w:themeColor="text1"/>
                <w:sz w:val="16"/>
                <w:szCs w:val="16"/>
              </w:rPr>
            </w:pPr>
          </w:p>
          <w:p w14:paraId="07342355" w14:textId="02C7334F" w:rsidR="000D3920" w:rsidRDefault="000D3920" w:rsidP="000D3920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  <w:t>Providers requested that the retainer be in place until the fall.</w:t>
            </w:r>
          </w:p>
        </w:tc>
        <w:tc>
          <w:tcPr>
            <w:tcW w:w="1593" w:type="pct"/>
          </w:tcPr>
          <w:p w14:paraId="7F939CD2" w14:textId="77777777" w:rsidR="00B402EB" w:rsidRDefault="003F54B0" w:rsidP="003F54B0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Taku said he would check with the CFO in finance to see how long the retainer payment will be an option for providers.</w:t>
            </w:r>
          </w:p>
          <w:p w14:paraId="1E67D93E" w14:textId="77777777" w:rsidR="000D3920" w:rsidRDefault="000D3920" w:rsidP="003F54B0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</w:p>
          <w:p w14:paraId="763C3A89" w14:textId="46A0E69B" w:rsidR="000D3920" w:rsidRPr="003F54B0" w:rsidRDefault="000D3920" w:rsidP="003F54B0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Jill will follow up with </w:t>
            </w:r>
            <w:r w:rsidR="00566F2B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Jenny and include </w:t>
            </w: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Taku</w:t>
            </w:r>
            <w:r w:rsidR="00566F2B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>.</w:t>
            </w:r>
            <w:r w:rsidR="00F62497"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2A2340" w:rsidRPr="00C41B7C" w14:paraId="54F4417E" w14:textId="77777777" w:rsidTr="009933AC">
        <w:tblPrEx>
          <w:tblCellMar>
            <w:left w:w="115" w:type="dxa"/>
            <w:right w:w="115" w:type="dxa"/>
          </w:tblCellMar>
        </w:tblPrEx>
        <w:trPr>
          <w:cantSplit/>
          <w:trHeight w:val="720"/>
        </w:trPr>
        <w:tc>
          <w:tcPr>
            <w:tcW w:w="1624" w:type="pct"/>
          </w:tcPr>
          <w:p w14:paraId="7EF3505C" w14:textId="4C26DC5D" w:rsidR="002A2340" w:rsidRDefault="002A2340" w:rsidP="00A43ED4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ind w:left="517"/>
              <w:rPr>
                <w:rFonts w:asciiTheme="minorHAnsi" w:hAnsiTheme="minorHAnsi" w:cs="Tahoma"/>
                <w:b/>
                <w:sz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Adjournment</w:t>
            </w:r>
          </w:p>
        </w:tc>
        <w:tc>
          <w:tcPr>
            <w:tcW w:w="1782" w:type="pct"/>
          </w:tcPr>
          <w:p w14:paraId="575ED56D" w14:textId="77777777" w:rsidR="002A2340" w:rsidRDefault="002A2340" w:rsidP="00371A87">
            <w:pPr>
              <w:tabs>
                <w:tab w:val="left" w:pos="1080"/>
              </w:tabs>
              <w:spacing w:before="6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93" w:type="pct"/>
          </w:tcPr>
          <w:p w14:paraId="6C2EA81D" w14:textId="20C9913F" w:rsidR="002A2340" w:rsidRPr="0084737B" w:rsidRDefault="0084737B" w:rsidP="0084737B">
            <w:pPr>
              <w:tabs>
                <w:tab w:val="left" w:pos="1080"/>
              </w:tabs>
              <w:rPr>
                <w:rFonts w:asciiTheme="minorHAnsi" w:hAnsiTheme="minorHAnsi" w:cs="Tahoma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 w:val="24"/>
              </w:rPr>
              <w:t xml:space="preserve"> The meeting adjourned at 10:25.</w:t>
            </w:r>
          </w:p>
        </w:tc>
      </w:tr>
    </w:tbl>
    <w:p w14:paraId="2667536F" w14:textId="73C20FD3" w:rsidR="00C120F9" w:rsidRPr="00466FAC" w:rsidRDefault="0084737B" w:rsidP="00EA0A2F">
      <w:pPr>
        <w:pStyle w:val="Heading1"/>
        <w:rPr>
          <w:sz w:val="20"/>
        </w:rPr>
      </w:pPr>
      <w:r>
        <w:rPr>
          <w:sz w:val="20"/>
        </w:rPr>
        <w:t>Prepared by Linda Conchi</w:t>
      </w:r>
    </w:p>
    <w:sectPr w:rsidR="00C120F9" w:rsidRPr="00466FAC" w:rsidSect="00446439">
      <w:footerReference w:type="default" r:id="rId9"/>
      <w:pgSz w:w="15840" w:h="12240" w:orient="landscape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C0DD" w14:textId="77777777" w:rsidR="00213B4E" w:rsidRDefault="00213B4E">
      <w:r>
        <w:separator/>
      </w:r>
    </w:p>
  </w:endnote>
  <w:endnote w:type="continuationSeparator" w:id="0">
    <w:p w14:paraId="4350014F" w14:textId="77777777" w:rsidR="00213B4E" w:rsidRDefault="0021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BC66" w14:textId="77777777" w:rsidR="00E33EA6" w:rsidRDefault="00E33EA6">
    <w:pPr>
      <w:pStyle w:val="Footer"/>
      <w:tabs>
        <w:tab w:val="clear" w:pos="8640"/>
        <w:tab w:val="right" w:pos="14640"/>
      </w:tabs>
      <w:rPr>
        <w:rStyle w:val="PageNumber"/>
        <w:sz w:val="16"/>
      </w:rPr>
    </w:pPr>
  </w:p>
  <w:p w14:paraId="5198624E" w14:textId="77777777" w:rsidR="00E33EA6" w:rsidRDefault="00E33EA6">
    <w:pPr>
      <w:pStyle w:val="Footer"/>
      <w:tabs>
        <w:tab w:val="clear" w:pos="8640"/>
        <w:tab w:val="right" w:pos="14640"/>
      </w:tabs>
      <w:rPr>
        <w:sz w:val="16"/>
      </w:rPr>
    </w:pPr>
    <w:r>
      <w:rPr>
        <w:rStyle w:val="PageNumber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1719F" w14:textId="77777777" w:rsidR="00213B4E" w:rsidRDefault="00213B4E">
      <w:r>
        <w:separator/>
      </w:r>
    </w:p>
  </w:footnote>
  <w:footnote w:type="continuationSeparator" w:id="0">
    <w:p w14:paraId="102F98D7" w14:textId="77777777" w:rsidR="00213B4E" w:rsidRDefault="0021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658"/>
    <w:multiLevelType w:val="hybridMultilevel"/>
    <w:tmpl w:val="BE66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3C2"/>
    <w:multiLevelType w:val="hybridMultilevel"/>
    <w:tmpl w:val="85DA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2FE"/>
    <w:multiLevelType w:val="hybridMultilevel"/>
    <w:tmpl w:val="44722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74616"/>
    <w:multiLevelType w:val="hybridMultilevel"/>
    <w:tmpl w:val="79DEC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845D65"/>
    <w:multiLevelType w:val="hybridMultilevel"/>
    <w:tmpl w:val="47F4B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524B9"/>
    <w:multiLevelType w:val="hybridMultilevel"/>
    <w:tmpl w:val="08AE7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E3F55"/>
    <w:multiLevelType w:val="hybridMultilevel"/>
    <w:tmpl w:val="C6C2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0298C"/>
    <w:multiLevelType w:val="hybridMultilevel"/>
    <w:tmpl w:val="173A7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B95C52"/>
    <w:multiLevelType w:val="hybridMultilevel"/>
    <w:tmpl w:val="EE3A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027B8"/>
    <w:multiLevelType w:val="hybridMultilevel"/>
    <w:tmpl w:val="0F20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2E22"/>
    <w:multiLevelType w:val="hybridMultilevel"/>
    <w:tmpl w:val="8CF05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A9"/>
    <w:rsid w:val="00010D90"/>
    <w:rsid w:val="00010F9A"/>
    <w:rsid w:val="00011F90"/>
    <w:rsid w:val="00012896"/>
    <w:rsid w:val="00022288"/>
    <w:rsid w:val="0002622C"/>
    <w:rsid w:val="0004278F"/>
    <w:rsid w:val="000470E8"/>
    <w:rsid w:val="00052FD8"/>
    <w:rsid w:val="00057B78"/>
    <w:rsid w:val="00057FFA"/>
    <w:rsid w:val="000617BA"/>
    <w:rsid w:val="000637DD"/>
    <w:rsid w:val="0006437B"/>
    <w:rsid w:val="000669DC"/>
    <w:rsid w:val="000678C5"/>
    <w:rsid w:val="00080DBF"/>
    <w:rsid w:val="00083674"/>
    <w:rsid w:val="00083ECF"/>
    <w:rsid w:val="000A1A28"/>
    <w:rsid w:val="000A200A"/>
    <w:rsid w:val="000A2FED"/>
    <w:rsid w:val="000A7252"/>
    <w:rsid w:val="000B3F80"/>
    <w:rsid w:val="000C0156"/>
    <w:rsid w:val="000D16B6"/>
    <w:rsid w:val="000D27AA"/>
    <w:rsid w:val="000D3920"/>
    <w:rsid w:val="000D4A77"/>
    <w:rsid w:val="000D7C8A"/>
    <w:rsid w:val="000E365F"/>
    <w:rsid w:val="000F094F"/>
    <w:rsid w:val="001031AA"/>
    <w:rsid w:val="0010632E"/>
    <w:rsid w:val="0011089F"/>
    <w:rsid w:val="00110968"/>
    <w:rsid w:val="00111342"/>
    <w:rsid w:val="0011174A"/>
    <w:rsid w:val="00115043"/>
    <w:rsid w:val="001159B2"/>
    <w:rsid w:val="001200E6"/>
    <w:rsid w:val="001209DA"/>
    <w:rsid w:val="00123657"/>
    <w:rsid w:val="00124C63"/>
    <w:rsid w:val="0014263C"/>
    <w:rsid w:val="00162A32"/>
    <w:rsid w:val="001639E7"/>
    <w:rsid w:val="00163F8A"/>
    <w:rsid w:val="00171DE3"/>
    <w:rsid w:val="00172F59"/>
    <w:rsid w:val="00175DA9"/>
    <w:rsid w:val="00177906"/>
    <w:rsid w:val="00183FFC"/>
    <w:rsid w:val="00190C6F"/>
    <w:rsid w:val="001928F3"/>
    <w:rsid w:val="00192DA8"/>
    <w:rsid w:val="001A1ECA"/>
    <w:rsid w:val="001A2E06"/>
    <w:rsid w:val="001A73F4"/>
    <w:rsid w:val="001B0158"/>
    <w:rsid w:val="001C0EA5"/>
    <w:rsid w:val="001D5E99"/>
    <w:rsid w:val="001E1718"/>
    <w:rsid w:val="001E1C51"/>
    <w:rsid w:val="001F0D4F"/>
    <w:rsid w:val="001F5313"/>
    <w:rsid w:val="00202B17"/>
    <w:rsid w:val="002034B9"/>
    <w:rsid w:val="00204C3F"/>
    <w:rsid w:val="002071F8"/>
    <w:rsid w:val="00207BFA"/>
    <w:rsid w:val="002115A0"/>
    <w:rsid w:val="00212CF6"/>
    <w:rsid w:val="00213B4E"/>
    <w:rsid w:val="002148FE"/>
    <w:rsid w:val="00217949"/>
    <w:rsid w:val="002430B8"/>
    <w:rsid w:val="002431B1"/>
    <w:rsid w:val="002441ED"/>
    <w:rsid w:val="00245D3D"/>
    <w:rsid w:val="00251C49"/>
    <w:rsid w:val="00252257"/>
    <w:rsid w:val="0025606E"/>
    <w:rsid w:val="00256F7D"/>
    <w:rsid w:val="0026304B"/>
    <w:rsid w:val="00263B0B"/>
    <w:rsid w:val="00264471"/>
    <w:rsid w:val="00277BAB"/>
    <w:rsid w:val="00281520"/>
    <w:rsid w:val="0028198B"/>
    <w:rsid w:val="00285FA3"/>
    <w:rsid w:val="00290DB1"/>
    <w:rsid w:val="00290DCA"/>
    <w:rsid w:val="00295ED0"/>
    <w:rsid w:val="002972E4"/>
    <w:rsid w:val="002A02E9"/>
    <w:rsid w:val="002A0447"/>
    <w:rsid w:val="002A1089"/>
    <w:rsid w:val="002A2340"/>
    <w:rsid w:val="002B0FFD"/>
    <w:rsid w:val="002B302E"/>
    <w:rsid w:val="002B6EC4"/>
    <w:rsid w:val="002C1998"/>
    <w:rsid w:val="002C6064"/>
    <w:rsid w:val="002C656D"/>
    <w:rsid w:val="002D2D53"/>
    <w:rsid w:val="002E341B"/>
    <w:rsid w:val="002E5652"/>
    <w:rsid w:val="002F79DE"/>
    <w:rsid w:val="00302279"/>
    <w:rsid w:val="00305DED"/>
    <w:rsid w:val="00310196"/>
    <w:rsid w:val="00310B60"/>
    <w:rsid w:val="0031154C"/>
    <w:rsid w:val="00313C95"/>
    <w:rsid w:val="00315C93"/>
    <w:rsid w:val="00316D7E"/>
    <w:rsid w:val="00322B2C"/>
    <w:rsid w:val="00323C72"/>
    <w:rsid w:val="00331438"/>
    <w:rsid w:val="00331ABF"/>
    <w:rsid w:val="003400A6"/>
    <w:rsid w:val="003403F8"/>
    <w:rsid w:val="00344499"/>
    <w:rsid w:val="00344FA4"/>
    <w:rsid w:val="00350CD9"/>
    <w:rsid w:val="00355A62"/>
    <w:rsid w:val="00360078"/>
    <w:rsid w:val="00363B49"/>
    <w:rsid w:val="00371A87"/>
    <w:rsid w:val="003729D1"/>
    <w:rsid w:val="00373952"/>
    <w:rsid w:val="003800E6"/>
    <w:rsid w:val="00381E98"/>
    <w:rsid w:val="00386F62"/>
    <w:rsid w:val="00392AE8"/>
    <w:rsid w:val="003932F2"/>
    <w:rsid w:val="00396327"/>
    <w:rsid w:val="00397D88"/>
    <w:rsid w:val="003A03FC"/>
    <w:rsid w:val="003A2304"/>
    <w:rsid w:val="003B1D80"/>
    <w:rsid w:val="003B6348"/>
    <w:rsid w:val="003C526E"/>
    <w:rsid w:val="003C6937"/>
    <w:rsid w:val="003C74E5"/>
    <w:rsid w:val="003D3A93"/>
    <w:rsid w:val="003D4C66"/>
    <w:rsid w:val="003D71FE"/>
    <w:rsid w:val="003E628E"/>
    <w:rsid w:val="003F330A"/>
    <w:rsid w:val="003F54B0"/>
    <w:rsid w:val="00405515"/>
    <w:rsid w:val="00407510"/>
    <w:rsid w:val="004228CC"/>
    <w:rsid w:val="00423B09"/>
    <w:rsid w:val="00426A84"/>
    <w:rsid w:val="0042760D"/>
    <w:rsid w:val="004313DA"/>
    <w:rsid w:val="00434EB3"/>
    <w:rsid w:val="00436AA6"/>
    <w:rsid w:val="00440818"/>
    <w:rsid w:val="00442262"/>
    <w:rsid w:val="0044250D"/>
    <w:rsid w:val="004427F3"/>
    <w:rsid w:val="00444490"/>
    <w:rsid w:val="00446439"/>
    <w:rsid w:val="00446B1A"/>
    <w:rsid w:val="004514A8"/>
    <w:rsid w:val="00454506"/>
    <w:rsid w:val="00466FAC"/>
    <w:rsid w:val="0047336F"/>
    <w:rsid w:val="004803AA"/>
    <w:rsid w:val="0048616A"/>
    <w:rsid w:val="00487DD6"/>
    <w:rsid w:val="004913C9"/>
    <w:rsid w:val="0049285F"/>
    <w:rsid w:val="00494E5A"/>
    <w:rsid w:val="004A10E1"/>
    <w:rsid w:val="004A1A01"/>
    <w:rsid w:val="004A2FA9"/>
    <w:rsid w:val="004A7840"/>
    <w:rsid w:val="004B28F6"/>
    <w:rsid w:val="004B43A8"/>
    <w:rsid w:val="004B6715"/>
    <w:rsid w:val="004C2CC0"/>
    <w:rsid w:val="004C65E9"/>
    <w:rsid w:val="004D2A06"/>
    <w:rsid w:val="004D6207"/>
    <w:rsid w:val="004D72D4"/>
    <w:rsid w:val="004E62B7"/>
    <w:rsid w:val="004F0A05"/>
    <w:rsid w:val="004F27C8"/>
    <w:rsid w:val="005008A7"/>
    <w:rsid w:val="005013E5"/>
    <w:rsid w:val="00503978"/>
    <w:rsid w:val="00506D09"/>
    <w:rsid w:val="00507598"/>
    <w:rsid w:val="00520B22"/>
    <w:rsid w:val="005220DA"/>
    <w:rsid w:val="00523E8D"/>
    <w:rsid w:val="00530C68"/>
    <w:rsid w:val="00533308"/>
    <w:rsid w:val="005535AA"/>
    <w:rsid w:val="0056184F"/>
    <w:rsid w:val="005621BF"/>
    <w:rsid w:val="00566F2B"/>
    <w:rsid w:val="005719DE"/>
    <w:rsid w:val="00573821"/>
    <w:rsid w:val="00574B7A"/>
    <w:rsid w:val="00577433"/>
    <w:rsid w:val="00584B74"/>
    <w:rsid w:val="00590E62"/>
    <w:rsid w:val="00595195"/>
    <w:rsid w:val="005956EA"/>
    <w:rsid w:val="005A6494"/>
    <w:rsid w:val="005B2477"/>
    <w:rsid w:val="005B5C97"/>
    <w:rsid w:val="005C202B"/>
    <w:rsid w:val="005C3E3E"/>
    <w:rsid w:val="005C6115"/>
    <w:rsid w:val="005D0A05"/>
    <w:rsid w:val="005D1FF4"/>
    <w:rsid w:val="005D47A5"/>
    <w:rsid w:val="005D6A5D"/>
    <w:rsid w:val="005D7BF1"/>
    <w:rsid w:val="005E65E6"/>
    <w:rsid w:val="005E75E5"/>
    <w:rsid w:val="005F13DF"/>
    <w:rsid w:val="005F1AFA"/>
    <w:rsid w:val="005F4F7F"/>
    <w:rsid w:val="00602B7E"/>
    <w:rsid w:val="00613B51"/>
    <w:rsid w:val="0061566B"/>
    <w:rsid w:val="00616EE4"/>
    <w:rsid w:val="00617B84"/>
    <w:rsid w:val="00620907"/>
    <w:rsid w:val="00626668"/>
    <w:rsid w:val="006275F9"/>
    <w:rsid w:val="00627A3C"/>
    <w:rsid w:val="00632A0F"/>
    <w:rsid w:val="00633784"/>
    <w:rsid w:val="0064244B"/>
    <w:rsid w:val="006453FB"/>
    <w:rsid w:val="006516D3"/>
    <w:rsid w:val="006564F3"/>
    <w:rsid w:val="0066011E"/>
    <w:rsid w:val="00660CB6"/>
    <w:rsid w:val="00666F43"/>
    <w:rsid w:val="00674268"/>
    <w:rsid w:val="006745CE"/>
    <w:rsid w:val="00675182"/>
    <w:rsid w:val="0067692F"/>
    <w:rsid w:val="00676982"/>
    <w:rsid w:val="00680869"/>
    <w:rsid w:val="006850D6"/>
    <w:rsid w:val="00692F29"/>
    <w:rsid w:val="00693DE4"/>
    <w:rsid w:val="00694486"/>
    <w:rsid w:val="0069469E"/>
    <w:rsid w:val="006951E6"/>
    <w:rsid w:val="006A136C"/>
    <w:rsid w:val="006A167E"/>
    <w:rsid w:val="006A1C99"/>
    <w:rsid w:val="006A2190"/>
    <w:rsid w:val="006A4035"/>
    <w:rsid w:val="006A74DB"/>
    <w:rsid w:val="006B58E3"/>
    <w:rsid w:val="006C0B68"/>
    <w:rsid w:val="006C1D11"/>
    <w:rsid w:val="006C27E0"/>
    <w:rsid w:val="006D7B38"/>
    <w:rsid w:val="006E1CF5"/>
    <w:rsid w:val="006E759E"/>
    <w:rsid w:val="006F27BD"/>
    <w:rsid w:val="006F7C2A"/>
    <w:rsid w:val="00703B90"/>
    <w:rsid w:val="00714197"/>
    <w:rsid w:val="00722F63"/>
    <w:rsid w:val="00723B34"/>
    <w:rsid w:val="00725AA7"/>
    <w:rsid w:val="0073058E"/>
    <w:rsid w:val="007318AA"/>
    <w:rsid w:val="00745FF8"/>
    <w:rsid w:val="007548A0"/>
    <w:rsid w:val="007608E3"/>
    <w:rsid w:val="00765A86"/>
    <w:rsid w:val="00773656"/>
    <w:rsid w:val="00773864"/>
    <w:rsid w:val="0078759C"/>
    <w:rsid w:val="00791B3D"/>
    <w:rsid w:val="007940A2"/>
    <w:rsid w:val="00797C4E"/>
    <w:rsid w:val="00797FDC"/>
    <w:rsid w:val="007A42CF"/>
    <w:rsid w:val="007A5DCC"/>
    <w:rsid w:val="007C21ED"/>
    <w:rsid w:val="007C5511"/>
    <w:rsid w:val="007C721C"/>
    <w:rsid w:val="007D30FA"/>
    <w:rsid w:val="007D5987"/>
    <w:rsid w:val="007D6EBE"/>
    <w:rsid w:val="007E0D46"/>
    <w:rsid w:val="007E2D03"/>
    <w:rsid w:val="007E5120"/>
    <w:rsid w:val="007F1E18"/>
    <w:rsid w:val="007F29D8"/>
    <w:rsid w:val="007F6CD9"/>
    <w:rsid w:val="00806A3E"/>
    <w:rsid w:val="008078B5"/>
    <w:rsid w:val="00810921"/>
    <w:rsid w:val="008151C8"/>
    <w:rsid w:val="0082480F"/>
    <w:rsid w:val="0082613C"/>
    <w:rsid w:val="00834629"/>
    <w:rsid w:val="0084737B"/>
    <w:rsid w:val="00847BEC"/>
    <w:rsid w:val="0085250A"/>
    <w:rsid w:val="00856FA2"/>
    <w:rsid w:val="00862B68"/>
    <w:rsid w:val="0086679D"/>
    <w:rsid w:val="0087319D"/>
    <w:rsid w:val="00873FCA"/>
    <w:rsid w:val="00875E0B"/>
    <w:rsid w:val="00885151"/>
    <w:rsid w:val="008852D9"/>
    <w:rsid w:val="008868A5"/>
    <w:rsid w:val="008A25A5"/>
    <w:rsid w:val="008B3BFE"/>
    <w:rsid w:val="008B4D6C"/>
    <w:rsid w:val="008B760D"/>
    <w:rsid w:val="008B7E08"/>
    <w:rsid w:val="008C407F"/>
    <w:rsid w:val="008C6899"/>
    <w:rsid w:val="008D027A"/>
    <w:rsid w:val="008E3D36"/>
    <w:rsid w:val="008F4166"/>
    <w:rsid w:val="008F68DF"/>
    <w:rsid w:val="008F7A48"/>
    <w:rsid w:val="0090178D"/>
    <w:rsid w:val="0090212D"/>
    <w:rsid w:val="0090512B"/>
    <w:rsid w:val="00906616"/>
    <w:rsid w:val="00906E83"/>
    <w:rsid w:val="00914927"/>
    <w:rsid w:val="00920C20"/>
    <w:rsid w:val="00920DA2"/>
    <w:rsid w:val="00924097"/>
    <w:rsid w:val="0092731D"/>
    <w:rsid w:val="00931386"/>
    <w:rsid w:val="00936E8A"/>
    <w:rsid w:val="00937982"/>
    <w:rsid w:val="00945504"/>
    <w:rsid w:val="009525BB"/>
    <w:rsid w:val="009600E6"/>
    <w:rsid w:val="00975972"/>
    <w:rsid w:val="00976866"/>
    <w:rsid w:val="00977849"/>
    <w:rsid w:val="009817BD"/>
    <w:rsid w:val="00985A41"/>
    <w:rsid w:val="009865ED"/>
    <w:rsid w:val="009916B3"/>
    <w:rsid w:val="009933AC"/>
    <w:rsid w:val="009A1729"/>
    <w:rsid w:val="009B0345"/>
    <w:rsid w:val="009C2525"/>
    <w:rsid w:val="009C40C3"/>
    <w:rsid w:val="009C4313"/>
    <w:rsid w:val="009C7392"/>
    <w:rsid w:val="009D61BB"/>
    <w:rsid w:val="009D7070"/>
    <w:rsid w:val="009E412C"/>
    <w:rsid w:val="009E48BF"/>
    <w:rsid w:val="009E6CD7"/>
    <w:rsid w:val="009F0FC1"/>
    <w:rsid w:val="00A10A8A"/>
    <w:rsid w:val="00A156DF"/>
    <w:rsid w:val="00A17D98"/>
    <w:rsid w:val="00A2263F"/>
    <w:rsid w:val="00A23461"/>
    <w:rsid w:val="00A268B4"/>
    <w:rsid w:val="00A276C9"/>
    <w:rsid w:val="00A42C78"/>
    <w:rsid w:val="00A43ED4"/>
    <w:rsid w:val="00A43F35"/>
    <w:rsid w:val="00A453FE"/>
    <w:rsid w:val="00A47E53"/>
    <w:rsid w:val="00A61908"/>
    <w:rsid w:val="00A63424"/>
    <w:rsid w:val="00A65BEE"/>
    <w:rsid w:val="00A810F9"/>
    <w:rsid w:val="00A87A05"/>
    <w:rsid w:val="00A901C7"/>
    <w:rsid w:val="00A91ECC"/>
    <w:rsid w:val="00A965D9"/>
    <w:rsid w:val="00A96818"/>
    <w:rsid w:val="00AA059C"/>
    <w:rsid w:val="00AA1EE8"/>
    <w:rsid w:val="00AA3116"/>
    <w:rsid w:val="00AA7478"/>
    <w:rsid w:val="00AB0C55"/>
    <w:rsid w:val="00AB730D"/>
    <w:rsid w:val="00AC1186"/>
    <w:rsid w:val="00AD2E44"/>
    <w:rsid w:val="00AE1D7B"/>
    <w:rsid w:val="00AE40A3"/>
    <w:rsid w:val="00AF599B"/>
    <w:rsid w:val="00AF5D3E"/>
    <w:rsid w:val="00B0174A"/>
    <w:rsid w:val="00B01F5D"/>
    <w:rsid w:val="00B02939"/>
    <w:rsid w:val="00B173F7"/>
    <w:rsid w:val="00B20A63"/>
    <w:rsid w:val="00B2357A"/>
    <w:rsid w:val="00B243A1"/>
    <w:rsid w:val="00B25AFE"/>
    <w:rsid w:val="00B272F3"/>
    <w:rsid w:val="00B325BF"/>
    <w:rsid w:val="00B33EB1"/>
    <w:rsid w:val="00B402EB"/>
    <w:rsid w:val="00B4380F"/>
    <w:rsid w:val="00B44A87"/>
    <w:rsid w:val="00B4584A"/>
    <w:rsid w:val="00B47FBE"/>
    <w:rsid w:val="00B529B2"/>
    <w:rsid w:val="00B6303A"/>
    <w:rsid w:val="00B87F50"/>
    <w:rsid w:val="00B87FA2"/>
    <w:rsid w:val="00B9036B"/>
    <w:rsid w:val="00B92B96"/>
    <w:rsid w:val="00B92F2F"/>
    <w:rsid w:val="00B94F6E"/>
    <w:rsid w:val="00BA40BC"/>
    <w:rsid w:val="00BB2057"/>
    <w:rsid w:val="00BB70B6"/>
    <w:rsid w:val="00BC220F"/>
    <w:rsid w:val="00BC60C1"/>
    <w:rsid w:val="00BD4DC0"/>
    <w:rsid w:val="00BE5103"/>
    <w:rsid w:val="00BF26BD"/>
    <w:rsid w:val="00BF4BCA"/>
    <w:rsid w:val="00BF6C38"/>
    <w:rsid w:val="00C00112"/>
    <w:rsid w:val="00C003E3"/>
    <w:rsid w:val="00C0384E"/>
    <w:rsid w:val="00C03AE1"/>
    <w:rsid w:val="00C03CDC"/>
    <w:rsid w:val="00C03E5E"/>
    <w:rsid w:val="00C045D9"/>
    <w:rsid w:val="00C05724"/>
    <w:rsid w:val="00C1171B"/>
    <w:rsid w:val="00C120F9"/>
    <w:rsid w:val="00C1634D"/>
    <w:rsid w:val="00C2127A"/>
    <w:rsid w:val="00C21F35"/>
    <w:rsid w:val="00C34725"/>
    <w:rsid w:val="00C37801"/>
    <w:rsid w:val="00C37ECF"/>
    <w:rsid w:val="00C41B7C"/>
    <w:rsid w:val="00C44FA6"/>
    <w:rsid w:val="00C63E67"/>
    <w:rsid w:val="00C7127B"/>
    <w:rsid w:val="00C75172"/>
    <w:rsid w:val="00C752E8"/>
    <w:rsid w:val="00C75505"/>
    <w:rsid w:val="00C84F9F"/>
    <w:rsid w:val="00C85CDE"/>
    <w:rsid w:val="00C90319"/>
    <w:rsid w:val="00C920E3"/>
    <w:rsid w:val="00C9391C"/>
    <w:rsid w:val="00C944CC"/>
    <w:rsid w:val="00CB0398"/>
    <w:rsid w:val="00CD0F06"/>
    <w:rsid w:val="00CE1033"/>
    <w:rsid w:val="00CF4593"/>
    <w:rsid w:val="00CF6410"/>
    <w:rsid w:val="00D0674F"/>
    <w:rsid w:val="00D13467"/>
    <w:rsid w:val="00D26637"/>
    <w:rsid w:val="00D26A1D"/>
    <w:rsid w:val="00D32AE7"/>
    <w:rsid w:val="00D32B3E"/>
    <w:rsid w:val="00D368E3"/>
    <w:rsid w:val="00D36EDB"/>
    <w:rsid w:val="00D40494"/>
    <w:rsid w:val="00D4253E"/>
    <w:rsid w:val="00D45488"/>
    <w:rsid w:val="00D751AB"/>
    <w:rsid w:val="00D760A7"/>
    <w:rsid w:val="00D77F81"/>
    <w:rsid w:val="00D82C2F"/>
    <w:rsid w:val="00D86825"/>
    <w:rsid w:val="00D87630"/>
    <w:rsid w:val="00D96614"/>
    <w:rsid w:val="00DA08FE"/>
    <w:rsid w:val="00DA6735"/>
    <w:rsid w:val="00DC01FF"/>
    <w:rsid w:val="00DC2381"/>
    <w:rsid w:val="00DC618C"/>
    <w:rsid w:val="00DD1138"/>
    <w:rsid w:val="00DE1E3F"/>
    <w:rsid w:val="00DF7BD9"/>
    <w:rsid w:val="00E004EC"/>
    <w:rsid w:val="00E02ABC"/>
    <w:rsid w:val="00E04768"/>
    <w:rsid w:val="00E05B6A"/>
    <w:rsid w:val="00E15D14"/>
    <w:rsid w:val="00E23617"/>
    <w:rsid w:val="00E24F12"/>
    <w:rsid w:val="00E33EA6"/>
    <w:rsid w:val="00E35807"/>
    <w:rsid w:val="00E36566"/>
    <w:rsid w:val="00E401B7"/>
    <w:rsid w:val="00E40E58"/>
    <w:rsid w:val="00E40F9F"/>
    <w:rsid w:val="00E43B7E"/>
    <w:rsid w:val="00E44933"/>
    <w:rsid w:val="00E467D9"/>
    <w:rsid w:val="00E527B8"/>
    <w:rsid w:val="00E60089"/>
    <w:rsid w:val="00E62D69"/>
    <w:rsid w:val="00E63E9C"/>
    <w:rsid w:val="00E71942"/>
    <w:rsid w:val="00E81AC4"/>
    <w:rsid w:val="00E852F0"/>
    <w:rsid w:val="00E867AE"/>
    <w:rsid w:val="00E9055E"/>
    <w:rsid w:val="00E908AE"/>
    <w:rsid w:val="00E9363C"/>
    <w:rsid w:val="00EA0A2F"/>
    <w:rsid w:val="00EB038A"/>
    <w:rsid w:val="00EC1A85"/>
    <w:rsid w:val="00EC2EF5"/>
    <w:rsid w:val="00EC42B8"/>
    <w:rsid w:val="00ED09DD"/>
    <w:rsid w:val="00ED3D13"/>
    <w:rsid w:val="00ED43E0"/>
    <w:rsid w:val="00EE1126"/>
    <w:rsid w:val="00EE1270"/>
    <w:rsid w:val="00EE7A55"/>
    <w:rsid w:val="00EF3ED3"/>
    <w:rsid w:val="00EF6839"/>
    <w:rsid w:val="00EF6E0D"/>
    <w:rsid w:val="00F10061"/>
    <w:rsid w:val="00F206C3"/>
    <w:rsid w:val="00F21858"/>
    <w:rsid w:val="00F23726"/>
    <w:rsid w:val="00F254F0"/>
    <w:rsid w:val="00F36F58"/>
    <w:rsid w:val="00F4035E"/>
    <w:rsid w:val="00F429C3"/>
    <w:rsid w:val="00F4324A"/>
    <w:rsid w:val="00F43EA9"/>
    <w:rsid w:val="00F532C9"/>
    <w:rsid w:val="00F5620B"/>
    <w:rsid w:val="00F56296"/>
    <w:rsid w:val="00F62497"/>
    <w:rsid w:val="00F741BD"/>
    <w:rsid w:val="00F81CBC"/>
    <w:rsid w:val="00F873EE"/>
    <w:rsid w:val="00F92113"/>
    <w:rsid w:val="00F94C45"/>
    <w:rsid w:val="00FA4BD7"/>
    <w:rsid w:val="00FA6585"/>
    <w:rsid w:val="00FB146C"/>
    <w:rsid w:val="00FB62F9"/>
    <w:rsid w:val="00FC1EB4"/>
    <w:rsid w:val="00FC5125"/>
    <w:rsid w:val="00FD1ABD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7A4A9"/>
  <w15:docId w15:val="{9FD0340B-1666-4D0D-A18E-09A6F7D4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i/>
      <w:i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left="360" w:hanging="360"/>
      <w:outlineLvl w:val="5"/>
    </w:pPr>
    <w:rPr>
      <w:rFonts w:cs="Arial"/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  <w:szCs w:val="20"/>
    </w:rPr>
  </w:style>
  <w:style w:type="paragraph" w:styleId="Subtitle">
    <w:name w:val="Subtitle"/>
    <w:basedOn w:val="Normal"/>
    <w:qFormat/>
    <w:pPr>
      <w:jc w:val="center"/>
      <w:outlineLvl w:val="0"/>
    </w:pPr>
    <w:rPr>
      <w:b/>
      <w:sz w:val="24"/>
      <w:szCs w:val="20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bCs/>
      <w:i/>
      <w:iCs/>
    </w:rPr>
  </w:style>
  <w:style w:type="paragraph" w:styleId="BodyText3">
    <w:name w:val="Body Text 3"/>
    <w:basedOn w:val="Normal"/>
    <w:semiHidden/>
    <w:rPr>
      <w:rFonts w:cs="Arial"/>
      <w:bCs/>
      <w:sz w:val="20"/>
    </w:rPr>
  </w:style>
  <w:style w:type="paragraph" w:styleId="BodyTextIndent">
    <w:name w:val="Body Text Indent"/>
    <w:basedOn w:val="Normal"/>
    <w:semiHidden/>
    <w:pPr>
      <w:ind w:left="360"/>
    </w:pPr>
    <w:rPr>
      <w:rFonts w:cs="Arial"/>
      <w:iCs/>
      <w:sz w:val="20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360" w:hanging="360"/>
      <w:jc w:val="right"/>
    </w:pPr>
    <w:rPr>
      <w:rFonts w:cs="Arial"/>
      <w:bCs/>
      <w:sz w:val="20"/>
    </w:rPr>
  </w:style>
  <w:style w:type="paragraph" w:styleId="BodyTextIndent3">
    <w:name w:val="Body Text Indent 3"/>
    <w:basedOn w:val="Normal"/>
    <w:semiHidden/>
    <w:pPr>
      <w:tabs>
        <w:tab w:val="left" w:pos="360"/>
      </w:tabs>
      <w:ind w:left="360" w:hanging="360"/>
    </w:pPr>
    <w:rPr>
      <w:rFonts w:cs="Arial"/>
      <w:b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B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A16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20A6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5220DA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08E3"/>
    <w:rPr>
      <w:rFonts w:ascii="Calibri" w:eastAsiaTheme="minorHAnsi" w:hAnsi="Calibri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08E3"/>
    <w:rPr>
      <w:rFonts w:ascii="Calibri" w:eastAsiaTheme="minorHAnsi" w:hAnsi="Calibri" w:cstheme="minorBidi"/>
      <w:sz w:val="28"/>
      <w:szCs w:val="21"/>
    </w:rPr>
  </w:style>
  <w:style w:type="paragraph" w:styleId="NormalWeb">
    <w:name w:val="Normal (Web)"/>
    <w:basedOn w:val="Normal"/>
    <w:uiPriority w:val="99"/>
    <w:semiHidden/>
    <w:unhideWhenUsed/>
    <w:rsid w:val="00B87FA2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2F60F-C769-44EB-8E94-80898678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Microsoft</Company>
  <LinksUpToDate>false</LinksUpToDate>
  <CharactersWithSpaces>3119</CharactersWithSpaces>
  <SharedDoc>false</SharedDoc>
  <HLinks>
    <vt:vector size="6" baseType="variant">
      <vt:variant>
        <vt:i4>7929977</vt:i4>
      </vt:variant>
      <vt:variant>
        <vt:i4>0</vt:i4>
      </vt:variant>
      <vt:variant>
        <vt:i4>0</vt:i4>
      </vt:variant>
      <vt:variant>
        <vt:i4>5</vt:i4>
      </vt:variant>
      <vt:variant>
        <vt:lpwstr>https://wadismeetings.webex.com/wadismeetings/j.php?MTID=mb32cb9ffaa95adadef0dba5b1ac6f739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Chris Webster</dc:creator>
  <cp:lastModifiedBy>Linda Conchi</cp:lastModifiedBy>
  <cp:revision>2</cp:revision>
  <cp:lastPrinted>2017-12-07T23:00:00Z</cp:lastPrinted>
  <dcterms:created xsi:type="dcterms:W3CDTF">2020-06-17T15:23:00Z</dcterms:created>
  <dcterms:modified xsi:type="dcterms:W3CDTF">2020-06-17T15:23:00Z</dcterms:modified>
</cp:coreProperties>
</file>